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55C09B" w14:textId="77777777" w:rsidR="008377EF" w:rsidRDefault="00000000">
      <w:pPr>
        <w:pBdr>
          <w:top w:val="nil"/>
          <w:left w:val="nil"/>
          <w:bottom w:val="nil"/>
          <w:right w:val="nil"/>
          <w:between w:val="nil"/>
        </w:pBdr>
        <w:spacing w:after="0" w:line="240" w:lineRule="auto"/>
        <w:jc w:val="center"/>
        <w:rPr>
          <w:rFonts w:ascii="Titillium Web" w:eastAsia="Titillium Web" w:hAnsi="Titillium Web" w:cs="Titillium Web"/>
          <w:b/>
          <w:color w:val="212121"/>
          <w:sz w:val="18"/>
          <w:szCs w:val="18"/>
          <w:highlight w:val="white"/>
          <w:u w:val="single"/>
        </w:rPr>
      </w:pPr>
      <w:r>
        <w:rPr>
          <w:rFonts w:ascii="Titillium Web" w:eastAsia="Titillium Web" w:hAnsi="Titillium Web" w:cs="Titillium Web"/>
          <w:b/>
          <w:color w:val="212121"/>
          <w:sz w:val="18"/>
          <w:szCs w:val="18"/>
          <w:highlight w:val="white"/>
          <w:u w:val="single"/>
        </w:rPr>
        <w:t>COMUNICATO STAMPA</w:t>
      </w:r>
    </w:p>
    <w:p w14:paraId="14CAC504" w14:textId="77777777" w:rsidR="008377EF" w:rsidRDefault="008377EF">
      <w:pPr>
        <w:pBdr>
          <w:top w:val="nil"/>
          <w:left w:val="nil"/>
          <w:bottom w:val="nil"/>
          <w:right w:val="nil"/>
          <w:between w:val="nil"/>
        </w:pBdr>
        <w:spacing w:after="0" w:line="240" w:lineRule="auto"/>
        <w:jc w:val="center"/>
        <w:rPr>
          <w:rFonts w:ascii="Titillium Web" w:eastAsia="Titillium Web" w:hAnsi="Titillium Web" w:cs="Titillium Web"/>
          <w:b/>
          <w:color w:val="212121"/>
          <w:sz w:val="18"/>
          <w:szCs w:val="18"/>
          <w:highlight w:val="white"/>
          <w:u w:val="single"/>
        </w:rPr>
      </w:pPr>
    </w:p>
    <w:p w14:paraId="41F4E19A" w14:textId="77777777" w:rsidR="008377EF" w:rsidRDefault="00000000">
      <w:pPr>
        <w:spacing w:after="0" w:line="240" w:lineRule="auto"/>
        <w:jc w:val="center"/>
        <w:rPr>
          <w:rFonts w:ascii="Titillium Web" w:eastAsia="Titillium Web" w:hAnsi="Titillium Web" w:cs="Titillium Web"/>
          <w:b/>
          <w:color w:val="212121"/>
        </w:rPr>
      </w:pPr>
      <w:r>
        <w:rPr>
          <w:rFonts w:ascii="Titillium Web" w:eastAsia="Titillium Web" w:hAnsi="Titillium Web" w:cs="Titillium Web"/>
          <w:b/>
          <w:sz w:val="32"/>
          <w:szCs w:val="32"/>
        </w:rPr>
        <w:t>Oltre 39 miliardi di euro gestiti e operazioni record: The Bologna Gathering 2025 porta in Italia investitori e leader dell’innovazione per accelerare l’innovazione europea</w:t>
      </w:r>
    </w:p>
    <w:p w14:paraId="6A7F9ECB" w14:textId="77777777" w:rsidR="008377EF" w:rsidRDefault="00000000">
      <w:pPr>
        <w:spacing w:before="240" w:after="240" w:line="240" w:lineRule="auto"/>
        <w:jc w:val="center"/>
        <w:rPr>
          <w:rFonts w:ascii="Source Sans Pro" w:eastAsia="Source Sans Pro" w:hAnsi="Source Sans Pro" w:cs="Source Sans Pro"/>
          <w:i/>
          <w:color w:val="666666"/>
          <w:sz w:val="24"/>
          <w:szCs w:val="24"/>
        </w:rPr>
      </w:pPr>
      <w:r>
        <w:rPr>
          <w:rFonts w:ascii="Source Sans Pro" w:eastAsia="Source Sans Pro" w:hAnsi="Source Sans Pro" w:cs="Source Sans Pro"/>
          <w:i/>
          <w:color w:val="666666"/>
          <w:sz w:val="24"/>
          <w:szCs w:val="24"/>
        </w:rPr>
        <w:t>Selezionati da tutto il mondo oltre 300 decision maker di Startup, Corporate e fondi di Venture Capital per la III edizione dell’evento. Obiettivo: investire nei campioni Tech Italiani per creare leader europei. Partendo dalle operazioni record come Namirial e Exein.</w:t>
      </w:r>
    </w:p>
    <w:p w14:paraId="3CFBC762" w14:textId="1024E758" w:rsidR="008377EF" w:rsidRDefault="00000000">
      <w:pPr>
        <w:spacing w:after="120" w:line="240" w:lineRule="auto"/>
        <w:jc w:val="both"/>
        <w:rPr>
          <w:rFonts w:ascii="Source Sans Pro" w:eastAsia="Source Sans Pro" w:hAnsi="Source Sans Pro" w:cs="Source Sans Pro"/>
          <w:i/>
        </w:rPr>
      </w:pPr>
      <w:r>
        <w:rPr>
          <w:rFonts w:ascii="Source Sans Pro" w:eastAsia="Source Sans Pro" w:hAnsi="Source Sans Pro" w:cs="Source Sans Pro"/>
          <w:b/>
        </w:rPr>
        <w:t>Bologna, 16 Settembre 2025</w:t>
      </w:r>
      <w:r>
        <w:rPr>
          <w:rFonts w:ascii="Source Sans Pro" w:eastAsia="Source Sans Pro" w:hAnsi="Source Sans Pro" w:cs="Source Sans Pro"/>
        </w:rPr>
        <w:t xml:space="preserve"> – Mercoledì 17 e giovedì 18 settembre, </w:t>
      </w:r>
      <w:r>
        <w:rPr>
          <w:rFonts w:ascii="Source Sans Pro" w:eastAsia="Source Sans Pro" w:hAnsi="Source Sans Pro" w:cs="Source Sans Pro"/>
          <w:b/>
        </w:rPr>
        <w:t xml:space="preserve">Bologna </w:t>
      </w:r>
      <w:r>
        <w:rPr>
          <w:rFonts w:ascii="Source Sans Pro" w:eastAsia="Source Sans Pro" w:hAnsi="Source Sans Pro" w:cs="Source Sans Pro"/>
        </w:rPr>
        <w:t xml:space="preserve">e </w:t>
      </w:r>
      <w:r>
        <w:rPr>
          <w:rFonts w:ascii="Source Sans Pro" w:eastAsia="Source Sans Pro" w:hAnsi="Source Sans Pro" w:cs="Source Sans Pro"/>
          <w:b/>
        </w:rPr>
        <w:t xml:space="preserve">l’Emilia-Romagna </w:t>
      </w:r>
      <w:r>
        <w:rPr>
          <w:rFonts w:ascii="Source Sans Pro" w:eastAsia="Source Sans Pro" w:hAnsi="Source Sans Pro" w:cs="Source Sans Pro"/>
        </w:rPr>
        <w:t xml:space="preserve">tornano al centro dei riflettori europei del mondo del venture capital, delle startup e delle tecnologie emergenti. Arriva infatti la terza edizione di </w:t>
      </w:r>
      <w:r>
        <w:rPr>
          <w:rFonts w:ascii="Source Sans Pro" w:eastAsia="Source Sans Pro" w:hAnsi="Source Sans Pro" w:cs="Source Sans Pro"/>
          <w:b/>
        </w:rPr>
        <w:t xml:space="preserve">The Bologna Gathering (TBG), </w:t>
      </w:r>
      <w:r>
        <w:rPr>
          <w:rFonts w:ascii="Source Sans Pro" w:eastAsia="Source Sans Pro" w:hAnsi="Source Sans Pro" w:cs="Source Sans Pro"/>
        </w:rPr>
        <w:t xml:space="preserve">evento esclusivo — sostenuto da </w:t>
      </w:r>
      <w:r>
        <w:rPr>
          <w:rFonts w:ascii="Source Sans Pro" w:eastAsia="Source Sans Pro" w:hAnsi="Source Sans Pro" w:cs="Source Sans Pro"/>
          <w:b/>
        </w:rPr>
        <w:t>CTE COBO</w:t>
      </w:r>
      <w:r>
        <w:rPr>
          <w:rFonts w:ascii="Source Sans Pro" w:eastAsia="Source Sans Pro" w:hAnsi="Source Sans Pro" w:cs="Source Sans Pro"/>
        </w:rPr>
        <w:t xml:space="preserve"> e fondato da </w:t>
      </w:r>
      <w:r>
        <w:rPr>
          <w:rFonts w:ascii="Source Sans Pro" w:eastAsia="Source Sans Pro" w:hAnsi="Source Sans Pro" w:cs="Source Sans Pro"/>
          <w:b/>
        </w:rPr>
        <w:t>ART-ER</w:t>
      </w:r>
      <w:r>
        <w:rPr>
          <w:rFonts w:ascii="Source Sans Pro" w:eastAsia="Source Sans Pro" w:hAnsi="Source Sans Pro" w:cs="Source Sans Pro"/>
        </w:rPr>
        <w:t xml:space="preserve">, </w:t>
      </w:r>
      <w:r>
        <w:rPr>
          <w:rFonts w:ascii="Source Sans Pro" w:eastAsia="Source Sans Pro" w:hAnsi="Source Sans Pro" w:cs="Source Sans Pro"/>
          <w:b/>
        </w:rPr>
        <w:t>Città metropolitana</w:t>
      </w:r>
      <w:r>
        <w:rPr>
          <w:rFonts w:ascii="Source Sans Pro" w:eastAsia="Source Sans Pro" w:hAnsi="Source Sans Pro" w:cs="Source Sans Pro"/>
        </w:rPr>
        <w:t xml:space="preserve"> </w:t>
      </w:r>
      <w:r>
        <w:rPr>
          <w:rFonts w:ascii="Source Sans Pro" w:eastAsia="Source Sans Pro" w:hAnsi="Source Sans Pro" w:cs="Source Sans Pro"/>
          <w:b/>
        </w:rPr>
        <w:t>e Comune di Bologna</w:t>
      </w:r>
      <w:r>
        <w:rPr>
          <w:rFonts w:ascii="Source Sans Pro" w:eastAsia="Source Sans Pro" w:hAnsi="Source Sans Pro" w:cs="Source Sans Pro"/>
        </w:rPr>
        <w:t xml:space="preserve"> e </w:t>
      </w:r>
      <w:r>
        <w:rPr>
          <w:rFonts w:ascii="Source Sans Pro" w:eastAsia="Source Sans Pro" w:hAnsi="Source Sans Pro" w:cs="Source Sans Pro"/>
          <w:b/>
        </w:rPr>
        <w:t>Regione Emilia-Romagna</w:t>
      </w:r>
      <w:r>
        <w:rPr>
          <w:rFonts w:ascii="Source Sans Pro" w:eastAsia="Source Sans Pro" w:hAnsi="Source Sans Pro" w:cs="Source Sans Pro"/>
        </w:rPr>
        <w:t xml:space="preserve"> — riservato a 300 selezionati leader dell’innovazione. </w:t>
      </w:r>
      <w:r>
        <w:rPr>
          <w:rFonts w:ascii="Source Sans Pro" w:eastAsia="Source Sans Pro" w:hAnsi="Source Sans Pro" w:cs="Source Sans Pro"/>
        </w:rPr>
        <w:br/>
      </w:r>
      <w:r>
        <w:rPr>
          <w:rFonts w:ascii="Source Sans Pro" w:eastAsia="Source Sans Pro" w:hAnsi="Source Sans Pro" w:cs="Source Sans Pro"/>
        </w:rPr>
        <w:br/>
        <w:t xml:space="preserve">In particolare, è previsto l’arrivo di investitori di Venture Capital e Private Equity da tutto il mondo, con capitali gestiti per oltre </w:t>
      </w:r>
      <w:r>
        <w:rPr>
          <w:rFonts w:ascii="Source Sans Pro" w:eastAsia="Source Sans Pro" w:hAnsi="Source Sans Pro" w:cs="Source Sans Pro"/>
          <w:b/>
        </w:rPr>
        <w:t xml:space="preserve">39 miliardi di euro, </w:t>
      </w:r>
      <w:r>
        <w:rPr>
          <w:rFonts w:ascii="Source Sans Pro" w:eastAsia="Source Sans Pro" w:hAnsi="Source Sans Pro" w:cs="Source Sans Pro"/>
        </w:rPr>
        <w:t xml:space="preserve">che parteciperanno con l’interesse di investire nelle aziende di alta tecnologia italiane - a partire da quelle della regione. Un segnale che consolida la città e il territorio come hub strategico della </w:t>
      </w:r>
      <w:r>
        <w:rPr>
          <w:rFonts w:ascii="Source Sans Pro" w:eastAsia="Source Sans Pro" w:hAnsi="Source Sans Pro" w:cs="Source Sans Pro"/>
          <w:b/>
        </w:rPr>
        <w:t>data valley</w:t>
      </w:r>
      <w:r>
        <w:rPr>
          <w:rFonts w:ascii="Source Sans Pro" w:eastAsia="Source Sans Pro" w:hAnsi="Source Sans Pro" w:cs="Source Sans Pro"/>
        </w:rPr>
        <w:t xml:space="preserve"> europea, già sostenuta da poli di eccellenza come il DAMA Tecnopolo Data Manifattura di Bologna e da </w:t>
      </w:r>
      <w:r>
        <w:rPr>
          <w:rFonts w:ascii="Source Sans Pro" w:eastAsia="Source Sans Pro" w:hAnsi="Source Sans Pro" w:cs="Source Sans Pro"/>
          <w:b/>
        </w:rPr>
        <w:t>IT4LIA AI Factory</w:t>
      </w:r>
      <w:r>
        <w:rPr>
          <w:rFonts w:ascii="Source Sans Pro" w:eastAsia="Source Sans Pro" w:hAnsi="Source Sans Pro" w:cs="Source Sans Pro"/>
        </w:rPr>
        <w:t>, progetto di rilievo internazionale che promuove l’adozione dell’intelligenza artificiale in Italia e in Europa, che rappresentano asset chiave per la nascita di nuove startup in campo AI.</w:t>
      </w:r>
      <w:r>
        <w:rPr>
          <w:rFonts w:ascii="Source Sans Pro" w:eastAsia="Source Sans Pro" w:hAnsi="Source Sans Pro" w:cs="Source Sans Pro"/>
        </w:rPr>
        <w:br/>
      </w:r>
      <w:r>
        <w:rPr>
          <w:rFonts w:ascii="Source Sans Pro" w:eastAsia="Source Sans Pro" w:hAnsi="Source Sans Pro" w:cs="Source Sans Pro"/>
        </w:rPr>
        <w:br/>
        <w:t xml:space="preserve">Attesi investitori da Europa, America e Asia, top manager di corporate sia italiane che globali e founder di “unicorni” e scaleup da oltre dieci settori tecnologici. Tra gli investitori di spicco, fondi come </w:t>
      </w:r>
      <w:r>
        <w:rPr>
          <w:rFonts w:ascii="Source Sans Pro" w:eastAsia="Source Sans Pro" w:hAnsi="Source Sans Pro" w:cs="Source Sans Pro"/>
          <w:b/>
        </w:rPr>
        <w:t>White Star Capital</w:t>
      </w:r>
      <w:r>
        <w:rPr>
          <w:rFonts w:ascii="Source Sans Pro" w:eastAsia="Source Sans Pro" w:hAnsi="Source Sans Pro" w:cs="Source Sans Pro"/>
        </w:rPr>
        <w:t xml:space="preserve"> (fondo globale con sedi a New York, Londra, Parigi, Toronto, Tokyo e Singapore), </w:t>
      </w:r>
      <w:r>
        <w:rPr>
          <w:rFonts w:ascii="Source Sans Pro" w:eastAsia="Source Sans Pro" w:hAnsi="Source Sans Pro" w:cs="Source Sans Pro"/>
          <w:b/>
        </w:rPr>
        <w:t>BlackRock</w:t>
      </w:r>
      <w:r>
        <w:rPr>
          <w:rFonts w:ascii="Source Sans Pro" w:eastAsia="Source Sans Pro" w:hAnsi="Source Sans Pro" w:cs="Source Sans Pro"/>
        </w:rPr>
        <w:t xml:space="preserve"> (la più grande società di private equity al mondo, per capitali gestiti, secondo Dealroom</w:t>
      </w:r>
      <w:r>
        <w:rPr>
          <w:rFonts w:ascii="Source Sans Pro" w:eastAsia="Source Sans Pro" w:hAnsi="Source Sans Pro" w:cs="Source Sans Pro"/>
          <w:vertAlign w:val="superscript"/>
        </w:rPr>
        <w:footnoteReference w:id="1"/>
      </w:r>
      <w:r>
        <w:rPr>
          <w:rFonts w:ascii="Source Sans Pro" w:eastAsia="Source Sans Pro" w:hAnsi="Source Sans Pro" w:cs="Source Sans Pro"/>
        </w:rPr>
        <w:t xml:space="preserve">), ed </w:t>
      </w:r>
      <w:r>
        <w:rPr>
          <w:rFonts w:ascii="Source Sans Pro" w:eastAsia="Source Sans Pro" w:hAnsi="Source Sans Pro" w:cs="Source Sans Pro"/>
          <w:b/>
        </w:rPr>
        <w:t>Eight Roads</w:t>
      </w:r>
      <w:r>
        <w:rPr>
          <w:rFonts w:ascii="Source Sans Pro" w:eastAsia="Source Sans Pro" w:hAnsi="Source Sans Pro" w:cs="Source Sans Pro"/>
        </w:rPr>
        <w:t xml:space="preserve"> (VC internazionale con oltre 50 anni di attività). Sul fronte europeo, presenti </w:t>
      </w:r>
      <w:r>
        <w:rPr>
          <w:rFonts w:ascii="Source Sans Pro" w:eastAsia="Source Sans Pro" w:hAnsi="Source Sans Pro" w:cs="Source Sans Pro"/>
          <w:b/>
        </w:rPr>
        <w:t>Balderton Capital</w:t>
      </w:r>
      <w:r>
        <w:rPr>
          <w:rFonts w:ascii="Source Sans Pro" w:eastAsia="Source Sans Pro" w:hAnsi="Source Sans Pro" w:cs="Source Sans Pro"/>
        </w:rPr>
        <w:t xml:space="preserve"> (Revolut e GoCardless in portafoglio, tra i principali fondi early-stage e growth-stage d’Europa) e </w:t>
      </w:r>
      <w:r>
        <w:rPr>
          <w:rFonts w:ascii="Source Sans Pro" w:eastAsia="Source Sans Pro" w:hAnsi="Source Sans Pro" w:cs="Source Sans Pro"/>
          <w:b/>
        </w:rPr>
        <w:t>Northzone</w:t>
      </w:r>
      <w:r>
        <w:rPr>
          <w:rFonts w:ascii="Source Sans Pro" w:eastAsia="Source Sans Pro" w:hAnsi="Source Sans Pro" w:cs="Source Sans Pro"/>
        </w:rPr>
        <w:t xml:space="preserve"> (con aziende come Spotify e Klarna in portafoglio).</w:t>
      </w:r>
      <w:r>
        <w:rPr>
          <w:rFonts w:ascii="Source Sans Pro" w:eastAsia="Source Sans Pro" w:hAnsi="Source Sans Pro" w:cs="Source Sans Pro"/>
        </w:rPr>
        <w:br/>
      </w:r>
      <w:r>
        <w:rPr>
          <w:rFonts w:ascii="Source Sans Pro" w:eastAsia="Source Sans Pro" w:hAnsi="Source Sans Pro" w:cs="Source Sans Pro"/>
        </w:rPr>
        <w:br/>
      </w:r>
      <w:r>
        <w:rPr>
          <w:rFonts w:ascii="Source Sans Pro" w:eastAsia="Source Sans Pro" w:hAnsi="Source Sans Pro" w:cs="Source Sans Pro"/>
        </w:rPr>
        <w:br/>
      </w:r>
      <w:r>
        <w:rPr>
          <w:rFonts w:ascii="Source Sans Pro" w:eastAsia="Source Sans Pro" w:hAnsi="Source Sans Pro" w:cs="Source Sans Pro"/>
        </w:rPr>
        <w:lastRenderedPageBreak/>
        <w:t xml:space="preserve">Come da tradizione, saranno presenti alcuni fra i protagonisti delle più importanti operazioni italiane nel settore tech degli ultimi mesi, tra cui </w:t>
      </w:r>
      <w:r>
        <w:rPr>
          <w:rFonts w:ascii="Source Sans Pro" w:eastAsia="Source Sans Pro" w:hAnsi="Source Sans Pro" w:cs="Source Sans Pro"/>
          <w:b/>
        </w:rPr>
        <w:t>Namirial</w:t>
      </w:r>
      <w:r>
        <w:rPr>
          <w:rFonts w:ascii="Source Sans Pro" w:eastAsia="Source Sans Pro" w:hAnsi="Source Sans Pro" w:cs="Source Sans Pro"/>
        </w:rPr>
        <w:t xml:space="preserve">, società di software che ha realizzato a marzo una exit ad un valore aziendale di 1.1 miliardi di euro, ed </w:t>
      </w:r>
      <w:r>
        <w:rPr>
          <w:rFonts w:ascii="Source Sans Pro" w:eastAsia="Source Sans Pro" w:hAnsi="Source Sans Pro" w:cs="Source Sans Pro"/>
          <w:b/>
        </w:rPr>
        <w:t>Exein</w:t>
      </w:r>
      <w:r>
        <w:rPr>
          <w:rFonts w:ascii="Source Sans Pro" w:eastAsia="Source Sans Pro" w:hAnsi="Source Sans Pro" w:cs="Source Sans Pro"/>
        </w:rPr>
        <w:t>, scaleup di cybersecurity che detiene ad ora il record italiano di raccolta di capitali nel 2025 (round a luglio da 70 milioni di euro).</w:t>
      </w:r>
      <w:r>
        <w:rPr>
          <w:rFonts w:ascii="Source Sans Pro" w:eastAsia="Source Sans Pro" w:hAnsi="Source Sans Pro" w:cs="Source Sans Pro"/>
        </w:rPr>
        <w:br/>
      </w:r>
      <w:r>
        <w:rPr>
          <w:rFonts w:ascii="Source Sans Pro" w:eastAsia="Source Sans Pro" w:hAnsi="Source Sans Pro" w:cs="Source Sans Pro"/>
        </w:rPr>
        <w:br/>
        <w:t xml:space="preserve">Accanto agli investitori, aziende e startup provenienti da oltre dieci settori chiave: dall’intelligenza artificiale alla cybersecurity, dal fintech al cloud. Tra queste: </w:t>
      </w:r>
      <w:r>
        <w:rPr>
          <w:rFonts w:ascii="Source Sans Pro" w:eastAsia="Source Sans Pro" w:hAnsi="Source Sans Pro" w:cs="Source Sans Pro"/>
          <w:b/>
        </w:rPr>
        <w:t>D-Orbit</w:t>
      </w:r>
      <w:r>
        <w:rPr>
          <w:rFonts w:ascii="Source Sans Pro" w:eastAsia="Source Sans Pro" w:hAnsi="Source Sans Pro" w:cs="Source Sans Pro"/>
        </w:rPr>
        <w:t xml:space="preserve"> (unicorno nella space logistics), </w:t>
      </w:r>
      <w:r>
        <w:rPr>
          <w:rFonts w:ascii="Source Sans Pro" w:eastAsia="Source Sans Pro" w:hAnsi="Source Sans Pro" w:cs="Source Sans Pro"/>
          <w:b/>
        </w:rPr>
        <w:t>Satispay</w:t>
      </w:r>
      <w:r>
        <w:rPr>
          <w:rFonts w:ascii="Source Sans Pro" w:eastAsia="Source Sans Pro" w:hAnsi="Source Sans Pro" w:cs="Source Sans Pro"/>
        </w:rPr>
        <w:t xml:space="preserve"> (unicorno fintech) e </w:t>
      </w:r>
      <w:r>
        <w:rPr>
          <w:rFonts w:ascii="Source Sans Pro" w:eastAsia="Source Sans Pro" w:hAnsi="Source Sans Pro" w:cs="Source Sans Pro"/>
          <w:b/>
        </w:rPr>
        <w:t>Domyn</w:t>
      </w:r>
      <w:r>
        <w:rPr>
          <w:rFonts w:ascii="Source Sans Pro" w:eastAsia="Source Sans Pro" w:hAnsi="Source Sans Pro" w:cs="Source Sans Pro"/>
        </w:rPr>
        <w:t xml:space="preserve"> (ex-iGenius, AI enterprise). Fra gli obiettivi dell’evento c’è proprio quello di farle interagire con prominenti Corporate come </w:t>
      </w:r>
      <w:r>
        <w:rPr>
          <w:rFonts w:ascii="Source Sans Pro" w:eastAsia="Source Sans Pro" w:hAnsi="Source Sans Pro" w:cs="Source Sans Pro"/>
          <w:b/>
        </w:rPr>
        <w:t>Leonardo</w:t>
      </w:r>
      <w:r>
        <w:rPr>
          <w:rFonts w:ascii="Source Sans Pro" w:eastAsia="Source Sans Pro" w:hAnsi="Source Sans Pro" w:cs="Source Sans Pro"/>
        </w:rPr>
        <w:t xml:space="preserve">, </w:t>
      </w:r>
      <w:r>
        <w:rPr>
          <w:rFonts w:ascii="Source Sans Pro" w:eastAsia="Source Sans Pro" w:hAnsi="Source Sans Pro" w:cs="Source Sans Pro"/>
          <w:b/>
        </w:rPr>
        <w:t>TeamSystem, Fincantieri</w:t>
      </w:r>
      <w:r>
        <w:rPr>
          <w:rFonts w:ascii="Source Sans Pro" w:eastAsia="Source Sans Pro" w:hAnsi="Source Sans Pro" w:cs="Source Sans Pro"/>
        </w:rPr>
        <w:t xml:space="preserve">, </w:t>
      </w:r>
      <w:r>
        <w:rPr>
          <w:rFonts w:ascii="Source Sans Pro" w:eastAsia="Source Sans Pro" w:hAnsi="Source Sans Pro" w:cs="Source Sans Pro"/>
          <w:b/>
        </w:rPr>
        <w:t>Gruppo Hera</w:t>
      </w:r>
      <w:r>
        <w:rPr>
          <w:rFonts w:ascii="Source Sans Pro" w:eastAsia="Source Sans Pro" w:hAnsi="Source Sans Pro" w:cs="Source Sans Pro"/>
        </w:rPr>
        <w:t xml:space="preserve">, </w:t>
      </w:r>
      <w:r>
        <w:rPr>
          <w:rFonts w:ascii="Source Sans Pro" w:eastAsia="Source Sans Pro" w:hAnsi="Source Sans Pro" w:cs="Source Sans Pro"/>
          <w:b/>
        </w:rPr>
        <w:t>Aruba</w:t>
      </w:r>
      <w:r>
        <w:rPr>
          <w:rFonts w:ascii="Source Sans Pro" w:eastAsia="Source Sans Pro" w:hAnsi="Source Sans Pro" w:cs="Source Sans Pro"/>
        </w:rPr>
        <w:t xml:space="preserve">, </w:t>
      </w:r>
      <w:r>
        <w:rPr>
          <w:rFonts w:ascii="Source Sans Pro" w:eastAsia="Source Sans Pro" w:hAnsi="Source Sans Pro" w:cs="Source Sans Pro"/>
          <w:b/>
        </w:rPr>
        <w:t>CRIF,</w:t>
      </w:r>
      <w:r>
        <w:rPr>
          <w:rFonts w:ascii="Source Sans Pro" w:eastAsia="Source Sans Pro" w:hAnsi="Source Sans Pro" w:cs="Source Sans Pro"/>
        </w:rPr>
        <w:t xml:space="preserve"> </w:t>
      </w:r>
      <w:r>
        <w:rPr>
          <w:rFonts w:ascii="Source Sans Pro" w:eastAsia="Source Sans Pro" w:hAnsi="Source Sans Pro" w:cs="Source Sans Pro"/>
          <w:b/>
        </w:rPr>
        <w:t>Fastweb</w:t>
      </w:r>
      <w:r>
        <w:rPr>
          <w:rFonts w:ascii="Source Sans Pro" w:eastAsia="Source Sans Pro" w:hAnsi="Source Sans Pro" w:cs="Source Sans Pro"/>
        </w:rPr>
        <w:t xml:space="preserve">, </w:t>
      </w:r>
      <w:r>
        <w:rPr>
          <w:rFonts w:ascii="Source Sans Pro" w:eastAsia="Source Sans Pro" w:hAnsi="Source Sans Pro" w:cs="Source Sans Pro"/>
          <w:b/>
        </w:rPr>
        <w:t>Rai Way</w:t>
      </w:r>
      <w:r>
        <w:rPr>
          <w:rFonts w:ascii="Source Sans Pro" w:eastAsia="Source Sans Pro" w:hAnsi="Source Sans Pro" w:cs="Source Sans Pro"/>
        </w:rPr>
        <w:t xml:space="preserve">, </w:t>
      </w:r>
      <w:r>
        <w:rPr>
          <w:rFonts w:ascii="Source Sans Pro" w:eastAsia="Source Sans Pro" w:hAnsi="Source Sans Pro" w:cs="Source Sans Pro"/>
          <w:b/>
        </w:rPr>
        <w:t>Intesa Sanpaolo</w:t>
      </w:r>
      <w:r>
        <w:rPr>
          <w:rFonts w:ascii="Source Sans Pro" w:eastAsia="Source Sans Pro" w:hAnsi="Source Sans Pro" w:cs="Source Sans Pro"/>
        </w:rPr>
        <w:t xml:space="preserve">, </w:t>
      </w:r>
      <w:r>
        <w:rPr>
          <w:rFonts w:ascii="Source Sans Pro" w:eastAsia="Source Sans Pro" w:hAnsi="Source Sans Pro" w:cs="Source Sans Pro"/>
          <w:b/>
        </w:rPr>
        <w:t>Max Mara</w:t>
      </w:r>
      <w:r>
        <w:rPr>
          <w:rFonts w:ascii="Source Sans Pro" w:eastAsia="Source Sans Pro" w:hAnsi="Source Sans Pro" w:cs="Source Sans Pro"/>
        </w:rPr>
        <w:t xml:space="preserve">, </w:t>
      </w:r>
      <w:r>
        <w:rPr>
          <w:rFonts w:ascii="Source Sans Pro" w:eastAsia="Source Sans Pro" w:hAnsi="Source Sans Pro" w:cs="Source Sans Pro"/>
          <w:b/>
        </w:rPr>
        <w:t>WIIT, Zanichelli Editore</w:t>
      </w:r>
      <w:r>
        <w:rPr>
          <w:rFonts w:ascii="Source Sans Pro" w:eastAsia="Source Sans Pro" w:hAnsi="Source Sans Pro" w:cs="Source Sans Pro"/>
        </w:rPr>
        <w:t xml:space="preserve"> e </w:t>
      </w:r>
      <w:r>
        <w:rPr>
          <w:rFonts w:ascii="Source Sans Pro" w:eastAsia="Source Sans Pro" w:hAnsi="Source Sans Pro" w:cs="Source Sans Pro"/>
          <w:b/>
        </w:rPr>
        <w:t>Lepida</w:t>
      </w:r>
      <w:r>
        <w:rPr>
          <w:rFonts w:ascii="Source Sans Pro" w:eastAsia="Source Sans Pro" w:hAnsi="Source Sans Pro" w:cs="Source Sans Pro"/>
        </w:rPr>
        <w:t>.</w:t>
      </w:r>
      <w:r>
        <w:rPr>
          <w:rFonts w:ascii="Source Sans Pro" w:eastAsia="Source Sans Pro" w:hAnsi="Source Sans Pro" w:cs="Source Sans Pro"/>
        </w:rPr>
        <w:br/>
      </w:r>
      <w:r>
        <w:rPr>
          <w:rFonts w:ascii="Source Sans Pro" w:eastAsia="Source Sans Pro" w:hAnsi="Source Sans Pro" w:cs="Source Sans Pro"/>
        </w:rPr>
        <w:br/>
        <w:t xml:space="preserve">Tra i key partner dell’evento anche le </w:t>
      </w:r>
      <w:r>
        <w:rPr>
          <w:rFonts w:ascii="Source Sans Pro" w:eastAsia="Source Sans Pro" w:hAnsi="Source Sans Pro" w:cs="Source Sans Pro"/>
          <w:b/>
        </w:rPr>
        <w:t>Case delle Tecnologie Emergenti</w:t>
      </w:r>
      <w:r>
        <w:rPr>
          <w:rFonts w:ascii="Source Sans Pro" w:eastAsia="Source Sans Pro" w:hAnsi="Source Sans Pro" w:cs="Source Sans Pro"/>
        </w:rPr>
        <w:t xml:space="preserve"> (CTE), i 13 hub finanziati dal </w:t>
      </w:r>
      <w:r>
        <w:rPr>
          <w:rFonts w:ascii="Source Sans Pro" w:eastAsia="Source Sans Pro" w:hAnsi="Source Sans Pro" w:cs="Source Sans Pro"/>
          <w:b/>
        </w:rPr>
        <w:t xml:space="preserve">Ministero delle Imprese e del Made in Italy </w:t>
      </w:r>
      <w:r>
        <w:rPr>
          <w:rFonts w:ascii="Source Sans Pro" w:eastAsia="Source Sans Pro" w:hAnsi="Source Sans Pro" w:cs="Source Sans Pro"/>
        </w:rPr>
        <w:t>(MIMIT)</w:t>
      </w:r>
      <w:r>
        <w:rPr>
          <w:rFonts w:ascii="Source Sans Pro" w:eastAsia="Source Sans Pro" w:hAnsi="Source Sans Pro" w:cs="Source Sans Pro"/>
          <w:b/>
        </w:rPr>
        <w:t xml:space="preserve"> </w:t>
      </w:r>
      <w:r>
        <w:rPr>
          <w:rFonts w:ascii="Source Sans Pro" w:eastAsia="Source Sans Pro" w:hAnsi="Source Sans Pro" w:cs="Source Sans Pro"/>
        </w:rPr>
        <w:t>con l’obiettivo di promuovere azioni di ricerca, sperimentazione e trasferimento tecnologico per l’impiego di soluzioni innovative a supporto delle reti di nuova generazione.</w:t>
      </w:r>
      <w:r>
        <w:rPr>
          <w:rFonts w:ascii="Source Sans Pro" w:eastAsia="Source Sans Pro" w:hAnsi="Source Sans Pro" w:cs="Source Sans Pro"/>
        </w:rPr>
        <w:br/>
      </w:r>
      <w:r>
        <w:rPr>
          <w:rFonts w:ascii="Source Sans Pro" w:eastAsia="Source Sans Pro" w:hAnsi="Source Sans Pro" w:cs="Source Sans Pro"/>
        </w:rPr>
        <w:br/>
        <w:t xml:space="preserve">Il </w:t>
      </w:r>
      <w:r>
        <w:rPr>
          <w:rFonts w:ascii="Source Sans Pro" w:eastAsia="Source Sans Pro" w:hAnsi="Source Sans Pro" w:cs="Source Sans Pro"/>
          <w:b/>
        </w:rPr>
        <w:t>The Bologna Gathering</w:t>
      </w:r>
      <w:r>
        <w:rPr>
          <w:rFonts w:ascii="Source Sans Pro" w:eastAsia="Source Sans Pro" w:hAnsi="Source Sans Pro" w:cs="Source Sans Pro"/>
        </w:rPr>
        <w:t xml:space="preserve"> è stato scelto come momento conclusivo di tale progetto ministeriale, completando un percorso di promozione partito nel 2023. Parteciperanno quindi, oltre alla CTE guidata dal Comune di Bologna (</w:t>
      </w:r>
      <w:r>
        <w:rPr>
          <w:rFonts w:ascii="Source Sans Pro" w:eastAsia="Source Sans Pro" w:hAnsi="Source Sans Pro" w:cs="Source Sans Pro"/>
          <w:b/>
        </w:rPr>
        <w:t>CTE COBO</w:t>
      </w:r>
      <w:r>
        <w:rPr>
          <w:rFonts w:ascii="Source Sans Pro" w:eastAsia="Source Sans Pro" w:hAnsi="Source Sans Pro" w:cs="Source Sans Pro"/>
        </w:rPr>
        <w:t>), i rappresentanti delle CTE di Matera, L’Aquila, Torino, Prato, Roma, Napoli, Campobasso, Taranto, Genova, Cagliari, Bari e Pesaro che porteranno al Gathering 20 tra le realtà più innovative supportate nel percorso, attive in ambiti come AI, blockchain, 5G e realtà immersiva.</w:t>
      </w:r>
      <w:r>
        <w:rPr>
          <w:rFonts w:ascii="Source Sans Pro" w:eastAsia="Source Sans Pro" w:hAnsi="Source Sans Pro" w:cs="Source Sans Pro"/>
        </w:rPr>
        <w:br/>
      </w:r>
      <w:r>
        <w:rPr>
          <w:rFonts w:ascii="Source Sans Pro" w:eastAsia="Source Sans Pro" w:hAnsi="Source Sans Pro" w:cs="Source Sans Pro"/>
        </w:rPr>
        <w:br/>
        <w:t xml:space="preserve">L’evento, che negli anni ha toccato luoghi simbolo dell’innovazione come Opificio Golinelli, Tecnopolo DAMA, Museo Ducati e MAST, quest’anno si aprirà presso la </w:t>
      </w:r>
      <w:r>
        <w:rPr>
          <w:rFonts w:ascii="Source Sans Pro" w:eastAsia="Source Sans Pro" w:hAnsi="Source Sans Pro" w:cs="Source Sans Pro"/>
          <w:b/>
        </w:rPr>
        <w:t>Salaborsa</w:t>
      </w:r>
      <w:r>
        <w:rPr>
          <w:rFonts w:ascii="Source Sans Pro" w:eastAsia="Source Sans Pro" w:hAnsi="Source Sans Pro" w:cs="Source Sans Pro"/>
        </w:rPr>
        <w:t xml:space="preserve"> il 17 settembre, e proseguirà il 18 nel nuovo campus collinare della </w:t>
      </w:r>
      <w:r>
        <w:rPr>
          <w:rFonts w:ascii="Source Sans Pro" w:eastAsia="Source Sans Pro" w:hAnsi="Source Sans Pro" w:cs="Source Sans Pro"/>
          <w:b/>
        </w:rPr>
        <w:t xml:space="preserve">Bologna Business School </w:t>
      </w:r>
      <w:r>
        <w:rPr>
          <w:rFonts w:ascii="Source Sans Pro" w:eastAsia="Source Sans Pro" w:hAnsi="Source Sans Pro" w:cs="Source Sans Pro"/>
        </w:rPr>
        <w:t>recentemente inaugurato. Si concluderà poi con una cena di gala presso Palazzo De Rossi.</w:t>
      </w:r>
      <w:r>
        <w:rPr>
          <w:rFonts w:ascii="Source Sans Pro" w:eastAsia="Source Sans Pro" w:hAnsi="Source Sans Pro" w:cs="Source Sans Pro"/>
        </w:rPr>
        <w:br/>
      </w:r>
      <w:r>
        <w:rPr>
          <w:rFonts w:ascii="Source Sans Pro" w:eastAsia="Source Sans Pro" w:hAnsi="Source Sans Pro" w:cs="Source Sans Pro"/>
        </w:rPr>
        <w:br/>
        <w:t xml:space="preserve">Il palinsesto 2025 prevede momenti di grande rilievo, come il dialogo tra </w:t>
      </w:r>
      <w:r>
        <w:rPr>
          <w:rFonts w:ascii="Source Sans Pro" w:eastAsia="Source Sans Pro" w:hAnsi="Source Sans Pro" w:cs="Source Sans Pro"/>
          <w:b/>
        </w:rPr>
        <w:t>Alec Ross</w:t>
      </w:r>
      <w:r>
        <w:rPr>
          <w:rFonts w:ascii="Source Sans Pro" w:eastAsia="Source Sans Pro" w:hAnsi="Source Sans Pro" w:cs="Source Sans Pro"/>
        </w:rPr>
        <w:t xml:space="preserve"> (esperto di politica tecnologica, imprenditore e distinguished professor)</w:t>
      </w:r>
      <w:r>
        <w:rPr>
          <w:rFonts w:ascii="Source Sans Pro" w:eastAsia="Source Sans Pro" w:hAnsi="Source Sans Pro" w:cs="Source Sans Pro"/>
          <w:b/>
        </w:rPr>
        <w:t>,</w:t>
      </w:r>
      <w:r>
        <w:rPr>
          <w:rFonts w:ascii="Source Sans Pro" w:eastAsia="Source Sans Pro" w:hAnsi="Source Sans Pro" w:cs="Source Sans Pro"/>
        </w:rPr>
        <w:t xml:space="preserve"> </w:t>
      </w:r>
      <w:r>
        <w:rPr>
          <w:rFonts w:ascii="Source Sans Pro" w:eastAsia="Source Sans Pro" w:hAnsi="Source Sans Pro" w:cs="Source Sans Pro"/>
          <w:b/>
        </w:rPr>
        <w:t>Laurens Groenendijk</w:t>
      </w:r>
      <w:r>
        <w:rPr>
          <w:rFonts w:ascii="Source Sans Pro" w:eastAsia="Source Sans Pro" w:hAnsi="Source Sans Pro" w:cs="Source Sans Pro"/>
        </w:rPr>
        <w:t xml:space="preserve"> (Founder, JustEat e DFF) ed </w:t>
      </w:r>
      <w:r>
        <w:rPr>
          <w:rFonts w:ascii="Source Sans Pro" w:eastAsia="Source Sans Pro" w:hAnsi="Source Sans Pro" w:cs="Source Sans Pro"/>
          <w:b/>
        </w:rPr>
        <w:t>Elena Moneta</w:t>
      </w:r>
      <w:r>
        <w:rPr>
          <w:rFonts w:ascii="Source Sans Pro" w:eastAsia="Source Sans Pro" w:hAnsi="Source Sans Pro" w:cs="Source Sans Pro"/>
        </w:rPr>
        <w:t xml:space="preserve"> (Principal, Balderton Capital). Interverranno inoltre </w:t>
      </w:r>
      <w:r>
        <w:rPr>
          <w:rFonts w:ascii="Source Sans Pro" w:eastAsia="Source Sans Pro" w:hAnsi="Source Sans Pro" w:cs="Source Sans Pro"/>
          <w:b/>
        </w:rPr>
        <w:t>Massimiliano Pellegrini</w:t>
      </w:r>
      <w:r>
        <w:rPr>
          <w:rFonts w:ascii="Source Sans Pro" w:eastAsia="Source Sans Pro" w:hAnsi="Source Sans Pro" w:cs="Source Sans Pro"/>
        </w:rPr>
        <w:t xml:space="preserve"> (CEO, Namirial), </w:t>
      </w:r>
      <w:r>
        <w:rPr>
          <w:rFonts w:ascii="Source Sans Pro" w:eastAsia="Source Sans Pro" w:hAnsi="Source Sans Pro" w:cs="Source Sans Pro"/>
          <w:b/>
        </w:rPr>
        <w:t>Alessandro Scortecci</w:t>
      </w:r>
      <w:r>
        <w:rPr>
          <w:rFonts w:ascii="Source Sans Pro" w:eastAsia="Source Sans Pro" w:hAnsi="Source Sans Pro" w:cs="Source Sans Pro"/>
        </w:rPr>
        <w:t xml:space="preserve"> (Chief Investment Officer, CDP Venture Capital), </w:t>
      </w:r>
      <w:r>
        <w:rPr>
          <w:rFonts w:ascii="Source Sans Pro" w:eastAsia="Source Sans Pro" w:hAnsi="Source Sans Pro" w:cs="Source Sans Pro"/>
          <w:b/>
        </w:rPr>
        <w:t>Pierluigi Paracchi</w:t>
      </w:r>
      <w:r>
        <w:rPr>
          <w:rFonts w:ascii="Source Sans Pro" w:eastAsia="Source Sans Pro" w:hAnsi="Source Sans Pro" w:cs="Source Sans Pro"/>
        </w:rPr>
        <w:t xml:space="preserve"> (founder di Genenta Science, quotata al NASDAQ), </w:t>
      </w:r>
      <w:r>
        <w:rPr>
          <w:rFonts w:ascii="Source Sans Pro" w:eastAsia="Source Sans Pro" w:hAnsi="Source Sans Pro" w:cs="Source Sans Pro"/>
          <w:b/>
        </w:rPr>
        <w:t>Gianni Cuozzo</w:t>
      </w:r>
      <w:r>
        <w:rPr>
          <w:rFonts w:ascii="Source Sans Pro" w:eastAsia="Source Sans Pro" w:hAnsi="Source Sans Pro" w:cs="Source Sans Pro"/>
        </w:rPr>
        <w:t xml:space="preserve"> (CEO, Exein), </w:t>
      </w:r>
      <w:r>
        <w:rPr>
          <w:rFonts w:ascii="Source Sans Pro" w:eastAsia="Source Sans Pro" w:hAnsi="Source Sans Pro" w:cs="Source Sans Pro"/>
          <w:b/>
        </w:rPr>
        <w:t>Francesco Ubertini</w:t>
      </w:r>
      <w:r>
        <w:rPr>
          <w:rFonts w:ascii="Source Sans Pro" w:eastAsia="Source Sans Pro" w:hAnsi="Source Sans Pro" w:cs="Source Sans Pro"/>
        </w:rPr>
        <w:t xml:space="preserve"> (Presidente, CINECA), </w:t>
      </w:r>
      <w:r>
        <w:rPr>
          <w:rFonts w:ascii="Source Sans Pro" w:eastAsia="Source Sans Pro" w:hAnsi="Source Sans Pro" w:cs="Source Sans Pro"/>
          <w:b/>
        </w:rPr>
        <w:t>Fabio Nalucci</w:t>
      </w:r>
      <w:r>
        <w:rPr>
          <w:rFonts w:ascii="Source Sans Pro" w:eastAsia="Source Sans Pro" w:hAnsi="Source Sans Pro" w:cs="Source Sans Pro"/>
        </w:rPr>
        <w:t xml:space="preserve"> (Founder, FNDX e Gellify) e molti altri. </w:t>
      </w:r>
      <w:r>
        <w:rPr>
          <w:rFonts w:ascii="Source Sans Pro" w:eastAsia="Source Sans Pro" w:hAnsi="Source Sans Pro" w:cs="Source Sans Pro"/>
          <w:b/>
        </w:rPr>
        <w:t>In</w:t>
      </w:r>
      <w:r w:rsidR="006A3B85">
        <w:rPr>
          <w:rFonts w:ascii="Source Sans Pro" w:eastAsia="Source Sans Pro" w:hAnsi="Source Sans Pro" w:cs="Source Sans Pro"/>
          <w:b/>
        </w:rPr>
        <w:t>è</w:t>
      </w:r>
      <w:r>
        <w:rPr>
          <w:rFonts w:ascii="Source Sans Pro" w:eastAsia="Source Sans Pro" w:hAnsi="Source Sans Pro" w:cs="Source Sans Pro"/>
          <w:b/>
        </w:rPr>
        <w:t>s Makula</w:t>
      </w:r>
      <w:r>
        <w:rPr>
          <w:rFonts w:ascii="Source Sans Pro" w:eastAsia="Source Sans Pro" w:hAnsi="Source Sans Pro" w:cs="Source Sans Pro"/>
        </w:rPr>
        <w:t xml:space="preserve">, co-founder del noto podcast sull’innovazione italiana </w:t>
      </w:r>
      <w:r>
        <w:rPr>
          <w:rFonts w:ascii="Source Sans Pro" w:eastAsia="Source Sans Pro" w:hAnsi="Source Sans Pro" w:cs="Source Sans Pro"/>
          <w:b/>
        </w:rPr>
        <w:t>Made</w:t>
      </w:r>
      <w:r w:rsidR="006A3B85">
        <w:rPr>
          <w:rFonts w:ascii="Source Sans Pro" w:eastAsia="Source Sans Pro" w:hAnsi="Source Sans Pro" w:cs="Source Sans Pro"/>
          <w:b/>
        </w:rPr>
        <w:t xml:space="preserve"> </w:t>
      </w:r>
      <w:r>
        <w:rPr>
          <w:rFonts w:ascii="Source Sans Pro" w:eastAsia="Source Sans Pro" w:hAnsi="Source Sans Pro" w:cs="Source Sans Pro"/>
          <w:b/>
        </w:rPr>
        <w:t>IT</w:t>
      </w:r>
      <w:r>
        <w:rPr>
          <w:rFonts w:ascii="Source Sans Pro" w:eastAsia="Source Sans Pro" w:hAnsi="Source Sans Pro" w:cs="Source Sans Pro"/>
        </w:rPr>
        <w:t>, sarà stage host della due giorni di evento.</w:t>
      </w:r>
      <w:r>
        <w:rPr>
          <w:rFonts w:ascii="Source Sans Pro" w:eastAsia="Source Sans Pro" w:hAnsi="Source Sans Pro" w:cs="Source Sans Pro"/>
        </w:rPr>
        <w:br/>
      </w:r>
      <w:r>
        <w:rPr>
          <w:rFonts w:ascii="Source Sans Pro" w:eastAsia="Source Sans Pro" w:hAnsi="Source Sans Pro" w:cs="Source Sans Pro"/>
        </w:rPr>
        <w:br/>
        <w:t xml:space="preserve">The Bologna Gathering, evento sostenuto da </w:t>
      </w:r>
      <w:r>
        <w:rPr>
          <w:rFonts w:ascii="Source Sans Pro" w:eastAsia="Source Sans Pro" w:hAnsi="Source Sans Pro" w:cs="Source Sans Pro"/>
          <w:b/>
        </w:rPr>
        <w:t>CTE COBO</w:t>
      </w:r>
      <w:r>
        <w:rPr>
          <w:rFonts w:ascii="Source Sans Pro" w:eastAsia="Source Sans Pro" w:hAnsi="Source Sans Pro" w:cs="Source Sans Pro"/>
        </w:rPr>
        <w:t>, è stato fondato da</w:t>
      </w:r>
      <w:r>
        <w:rPr>
          <w:rFonts w:ascii="Source Sans Pro" w:eastAsia="Source Sans Pro" w:hAnsi="Source Sans Pro" w:cs="Source Sans Pro"/>
          <w:b/>
        </w:rPr>
        <w:t xml:space="preserve"> ART-ER</w:t>
      </w:r>
      <w:r>
        <w:rPr>
          <w:rFonts w:ascii="Source Sans Pro" w:eastAsia="Source Sans Pro" w:hAnsi="Source Sans Pro" w:cs="Source Sans Pro"/>
        </w:rPr>
        <w:t xml:space="preserve">, </w:t>
      </w:r>
      <w:r>
        <w:rPr>
          <w:rFonts w:ascii="Source Sans Pro" w:eastAsia="Source Sans Pro" w:hAnsi="Source Sans Pro" w:cs="Source Sans Pro"/>
          <w:b/>
        </w:rPr>
        <w:t>Città Metropolitana e Comune di Bologna</w:t>
      </w:r>
      <w:r>
        <w:rPr>
          <w:rFonts w:ascii="Source Sans Pro" w:eastAsia="Source Sans Pro" w:hAnsi="Source Sans Pro" w:cs="Source Sans Pro"/>
        </w:rPr>
        <w:t xml:space="preserve"> e </w:t>
      </w:r>
      <w:r>
        <w:rPr>
          <w:rFonts w:ascii="Source Sans Pro" w:eastAsia="Source Sans Pro" w:hAnsi="Source Sans Pro" w:cs="Source Sans Pro"/>
          <w:b/>
        </w:rPr>
        <w:t>Regione Emilia-Romagna</w:t>
      </w:r>
      <w:r>
        <w:rPr>
          <w:rFonts w:ascii="Source Sans Pro" w:eastAsia="Source Sans Pro" w:hAnsi="Source Sans Pro" w:cs="Source Sans Pro"/>
        </w:rPr>
        <w:t xml:space="preserve">. I key partners dell’edizione 2025 sono le Case delle </w:t>
      </w:r>
      <w:r>
        <w:rPr>
          <w:rFonts w:ascii="Source Sans Pro" w:eastAsia="Source Sans Pro" w:hAnsi="Source Sans Pro" w:cs="Source Sans Pro"/>
        </w:rPr>
        <w:lastRenderedPageBreak/>
        <w:t>Tecnologie Emergenti finanziate dal MIMIT, il Competence Center BI-REX e IT4LIA AI Factory.</w:t>
      </w:r>
      <w:r>
        <w:rPr>
          <w:rFonts w:ascii="Source Sans Pro" w:eastAsia="Source Sans Pro" w:hAnsi="Source Sans Pro" w:cs="Source Sans Pro"/>
        </w:rPr>
        <w:br/>
      </w:r>
      <w:r>
        <w:rPr>
          <w:rFonts w:ascii="Source Sans Pro" w:eastAsia="Source Sans Pro" w:hAnsi="Source Sans Pro" w:cs="Source Sans Pro"/>
        </w:rPr>
        <w:br/>
        <w:t>L’evento è un esempio concreto di collaborazione pubblico-privata: prodotto da Cubbit e associazione StartYouUp, vede FNDX come premium sponsor, la collaborazione chiave di BBS Bologna Business School e di G-Factor (Fondazione Golinelli), e il supporto di Intesa Sanpaolo, Almacube, MUG Magazzini Generativi, Gianni &amp; Origoni e Gellify.</w:t>
      </w:r>
      <w:r>
        <w:rPr>
          <w:rFonts w:ascii="Source Sans Pro" w:eastAsia="Source Sans Pro" w:hAnsi="Source Sans Pro" w:cs="Source Sans Pro"/>
        </w:rPr>
        <w:br/>
      </w:r>
      <w:r>
        <w:rPr>
          <w:rFonts w:ascii="Source Sans Pro" w:eastAsia="Source Sans Pro" w:hAnsi="Source Sans Pro" w:cs="Source Sans Pro"/>
        </w:rPr>
        <w:br/>
      </w:r>
      <w:r>
        <w:rPr>
          <w:rFonts w:ascii="Source Sans Pro" w:eastAsia="Source Sans Pro" w:hAnsi="Source Sans Pro" w:cs="Source Sans Pro"/>
          <w:i/>
          <w:color w:val="222222"/>
        </w:rPr>
        <w:t xml:space="preserve">“ART-ER è tra i fondatori di The Bologna Gathering e ha contribuito alla nascita di questa importante iniziativa in virtù della propria missione istituzionale e cioè quella di creare e sviluppare un ecosistema regionale delle startup dinamico e maturo. Sappiamo che i capitali sono fondamentali per la nascita, ma soprattutto per la crescita delle startup e gli investitori internazionali coinvolti da TBG, che negli anni sono aumentati per valore economico, autorevolezza e capacità d’investimento, rappresentano un’opportunità eccezionale per la crescita delle imprese innovative della nostra regione. Allo stesso tempo sono certa che gli investitori presenti, avranno l’opportunità di apprezzare le potenzialità delle nostre imprese e del nostro territorio in termini di innovazione, competenze e competitività” -  </w:t>
      </w:r>
      <w:r>
        <w:rPr>
          <w:rFonts w:ascii="Source Sans Pro" w:eastAsia="Source Sans Pro" w:hAnsi="Source Sans Pro" w:cs="Source Sans Pro"/>
          <w:b/>
          <w:color w:val="222222"/>
        </w:rPr>
        <w:t>Marina Silverii, Direttrice operativa di ART-ER</w:t>
      </w:r>
      <w:r>
        <w:rPr>
          <w:rFonts w:ascii="Source Sans Pro" w:eastAsia="Source Sans Pro" w:hAnsi="Source Sans Pro" w:cs="Source Sans Pro"/>
          <w:i/>
          <w:color w:val="222222"/>
          <w:highlight w:val="green"/>
        </w:rPr>
        <w:br/>
      </w:r>
      <w:r>
        <w:rPr>
          <w:rFonts w:ascii="Source Sans Pro" w:eastAsia="Source Sans Pro" w:hAnsi="Source Sans Pro" w:cs="Source Sans Pro"/>
          <w:i/>
          <w:color w:val="222222"/>
          <w:highlight w:val="green"/>
        </w:rPr>
        <w:br/>
      </w:r>
      <w:r>
        <w:rPr>
          <w:rFonts w:ascii="Source Sans Pro" w:eastAsia="Source Sans Pro" w:hAnsi="Source Sans Pro" w:cs="Source Sans Pro"/>
          <w:i/>
          <w:color w:val="222222"/>
        </w:rPr>
        <w:t>“Bologna Gathering è la dimostrazione concreta di come Bologna sia ormai riconosciuta a livello internazionale come un motore strategico dell’innovazione europea. In questi due giorni, la nostra città accoglie alcuni tra i principali attori globali del venture capital, dell’imprenditoria tecnologica e della ricerca, confermandosi nodo centrale della Data Valley e piattaforma ideale per far crescere le eccellenze italiane del futuro. Come Comune e Città metropolitana, insieme alla Regione Emilia-Romagna, continuiamo a investire in infrastrutture, spazi e progetti che alimentano l’ecosistema dell’innovazione: dal Tecnopolo e l’AI Factory al ruolo della nostra Casa delle Tecnologie Emergenti, oggi partner strategico di questo Gathering. Sostenere eventi come questo significa rafforzare il posizionamento di Bologna come capitale dell’innovazione responsabile, inclusiva e sostenibile. Il nostro impegno è che il futuro nasca qui, a beneficio di tutta la comunità”</w:t>
      </w:r>
      <w:r>
        <w:rPr>
          <w:rFonts w:ascii="Source Sans Pro" w:eastAsia="Source Sans Pro" w:hAnsi="Source Sans Pro" w:cs="Source Sans Pro"/>
          <w:color w:val="222222"/>
        </w:rPr>
        <w:t xml:space="preserve"> - </w:t>
      </w:r>
      <w:r>
        <w:rPr>
          <w:rFonts w:ascii="Source Sans Pro" w:eastAsia="Source Sans Pro" w:hAnsi="Source Sans Pro" w:cs="Source Sans Pro"/>
          <w:b/>
          <w:color w:val="222222"/>
        </w:rPr>
        <w:t>Matteo Lepore, Sindaco Comune e Città metropolitana di Bologna</w:t>
      </w:r>
      <w:r>
        <w:rPr>
          <w:rFonts w:ascii="Source Sans Pro" w:eastAsia="Source Sans Pro" w:hAnsi="Source Sans Pro" w:cs="Source Sans Pro"/>
          <w:i/>
          <w:color w:val="222222"/>
        </w:rPr>
        <w:br/>
      </w:r>
      <w:r>
        <w:rPr>
          <w:rFonts w:ascii="Source Sans Pro" w:eastAsia="Source Sans Pro" w:hAnsi="Source Sans Pro" w:cs="Source Sans Pro"/>
          <w:i/>
          <w:color w:val="222222"/>
        </w:rPr>
        <w:br/>
        <w:t xml:space="preserve">“Gli ultimi mesi ci dimostrano come continuano ad aumentare gli investimenti di capitali internazionali su startup italiane - </w:t>
      </w:r>
      <w:r>
        <w:rPr>
          <w:rFonts w:ascii="Source Sans Pro" w:eastAsia="Source Sans Pro" w:hAnsi="Source Sans Pro" w:cs="Source Sans Pro"/>
          <w:color w:val="222222"/>
        </w:rPr>
        <w:t xml:space="preserve">commentano </w:t>
      </w:r>
      <w:r>
        <w:rPr>
          <w:rFonts w:ascii="Source Sans Pro" w:eastAsia="Source Sans Pro" w:hAnsi="Source Sans Pro" w:cs="Source Sans Pro"/>
          <w:b/>
        </w:rPr>
        <w:t>Stefano Onofri e Alessandro Cillario, co-fondatori di Cubbit</w:t>
      </w:r>
      <w:r>
        <w:rPr>
          <w:rFonts w:ascii="Source Sans Pro" w:eastAsia="Source Sans Pro" w:hAnsi="Source Sans Pro" w:cs="Source Sans Pro"/>
        </w:rPr>
        <w:t xml:space="preserve">, scaleup bolognese partner dell’evento - </w:t>
      </w:r>
      <w:r>
        <w:rPr>
          <w:rFonts w:ascii="Source Sans Pro" w:eastAsia="Source Sans Pro" w:hAnsi="Source Sans Pro" w:cs="Source Sans Pro"/>
          <w:i/>
        </w:rPr>
        <w:t xml:space="preserve">siamo vicini a un punto di svolta per la maturità dell’ecosistema tecnologico del nostro paese. E questo è ancora più importante in una fase di incertezza geopolitica che inevitabilmente sta portando l’Europa a chiedersi come far diventare campioni globali le giovani aziende tecnologiche del continente. L’Italia in questo percorso deve essere centrale, e The Bologna Gathering rappresenta un evento privilegiato in cui accelerare il processo, e valorizzare le eccellenze del nostro territorio”. </w:t>
      </w:r>
    </w:p>
    <w:p w14:paraId="221CDB30" w14:textId="77777777" w:rsidR="008377EF" w:rsidRDefault="008377EF">
      <w:pPr>
        <w:spacing w:after="120" w:line="240" w:lineRule="auto"/>
        <w:jc w:val="both"/>
        <w:rPr>
          <w:rFonts w:ascii="Source Sans Pro" w:eastAsia="Source Sans Pro" w:hAnsi="Source Sans Pro" w:cs="Source Sans Pro"/>
          <w:i/>
        </w:rPr>
      </w:pPr>
    </w:p>
    <w:p w14:paraId="48117915" w14:textId="77777777" w:rsidR="008377EF" w:rsidRDefault="00000000">
      <w:pPr>
        <w:spacing w:after="120" w:line="240" w:lineRule="auto"/>
        <w:jc w:val="both"/>
        <w:rPr>
          <w:rFonts w:ascii="Source Sans Pro" w:eastAsia="Source Sans Pro" w:hAnsi="Source Sans Pro" w:cs="Source Sans Pro"/>
          <w:i/>
        </w:rPr>
      </w:pPr>
      <w:hyperlink r:id="rId7">
        <w:r>
          <w:rPr>
            <w:rFonts w:ascii="Source Sans Pro" w:eastAsia="Source Sans Pro" w:hAnsi="Source Sans Pro" w:cs="Source Sans Pro"/>
            <w:i/>
            <w:color w:val="1155CC"/>
            <w:u w:val="single"/>
          </w:rPr>
          <w:t>www.bolognagathering.com</w:t>
        </w:r>
      </w:hyperlink>
      <w:r>
        <w:rPr>
          <w:rFonts w:ascii="Source Sans Pro" w:eastAsia="Source Sans Pro" w:hAnsi="Source Sans Pro" w:cs="Source Sans Pro"/>
          <w:i/>
        </w:rPr>
        <w:t xml:space="preserve"> </w:t>
      </w:r>
    </w:p>
    <w:p w14:paraId="615F00C1" w14:textId="77777777" w:rsidR="008377EF" w:rsidRDefault="00000000">
      <w:pPr>
        <w:spacing w:after="0" w:line="240" w:lineRule="auto"/>
        <w:ind w:right="-330"/>
        <w:jc w:val="both"/>
        <w:rPr>
          <w:rFonts w:ascii="Source Sans Pro" w:eastAsia="Source Sans Pro" w:hAnsi="Source Sans Pro" w:cs="Source Sans Pro"/>
          <w:b/>
          <w:i/>
          <w:highlight w:val="white"/>
        </w:rPr>
      </w:pPr>
      <w:r>
        <w:rPr>
          <w:rFonts w:ascii="Source Sans Pro" w:eastAsia="Source Sans Pro" w:hAnsi="Source Sans Pro" w:cs="Source Sans Pro"/>
          <w:b/>
          <w:i/>
        </w:rPr>
        <w:t xml:space="preserve">Contatti Ufficio Stampa </w:t>
      </w:r>
      <w:r>
        <w:rPr>
          <w:rFonts w:ascii="Source Sans Pro" w:eastAsia="Source Sans Pro" w:hAnsi="Source Sans Pro" w:cs="Source Sans Pro"/>
          <w:b/>
          <w:i/>
          <w:highlight w:val="white"/>
        </w:rPr>
        <w:t>ART-ER</w:t>
      </w:r>
    </w:p>
    <w:p w14:paraId="14ACDC0F" w14:textId="77777777" w:rsidR="008377EF" w:rsidRDefault="00000000">
      <w:pPr>
        <w:spacing w:after="0" w:line="240" w:lineRule="auto"/>
        <w:ind w:right="-330"/>
        <w:jc w:val="both"/>
        <w:rPr>
          <w:rFonts w:ascii="Source Sans Pro" w:eastAsia="Source Sans Pro" w:hAnsi="Source Sans Pro" w:cs="Source Sans Pro"/>
          <w:i/>
          <w:highlight w:val="white"/>
        </w:rPr>
      </w:pPr>
      <w:r>
        <w:rPr>
          <w:rFonts w:ascii="Source Sans Pro" w:eastAsia="Source Sans Pro" w:hAnsi="Source Sans Pro" w:cs="Source Sans Pro"/>
          <w:i/>
          <w:highlight w:val="white"/>
        </w:rPr>
        <w:t>ufficiostampa@art-er.it</w:t>
      </w:r>
    </w:p>
    <w:p w14:paraId="4682ED29" w14:textId="77777777" w:rsidR="008377EF" w:rsidRDefault="00000000">
      <w:pPr>
        <w:spacing w:after="0" w:line="240" w:lineRule="auto"/>
        <w:ind w:right="-330"/>
        <w:jc w:val="both"/>
        <w:rPr>
          <w:rFonts w:ascii="Source Sans Pro" w:eastAsia="Source Sans Pro" w:hAnsi="Source Sans Pro" w:cs="Source Sans Pro"/>
          <w:i/>
          <w:highlight w:val="white"/>
        </w:rPr>
      </w:pPr>
      <w:r>
        <w:rPr>
          <w:rFonts w:ascii="Source Sans Pro" w:eastAsia="Source Sans Pro" w:hAnsi="Source Sans Pro" w:cs="Source Sans Pro"/>
          <w:i/>
          <w:highlight w:val="white"/>
        </w:rPr>
        <w:t>Raffaella Agostini</w:t>
      </w:r>
    </w:p>
    <w:p w14:paraId="27D12333" w14:textId="77777777" w:rsidR="008377EF" w:rsidRDefault="00000000">
      <w:pPr>
        <w:spacing w:after="0" w:line="240" w:lineRule="auto"/>
        <w:ind w:right="-330"/>
        <w:jc w:val="both"/>
        <w:rPr>
          <w:rFonts w:ascii="Source Sans Pro" w:eastAsia="Source Sans Pro" w:hAnsi="Source Sans Pro" w:cs="Source Sans Pro"/>
          <w:i/>
          <w:highlight w:val="white"/>
        </w:rPr>
      </w:pPr>
      <w:r>
        <w:rPr>
          <w:rFonts w:ascii="Source Sans Pro" w:eastAsia="Source Sans Pro" w:hAnsi="Source Sans Pro" w:cs="Source Sans Pro"/>
          <w:i/>
          <w:highlight w:val="white"/>
        </w:rPr>
        <w:t>cell. 3476545366</w:t>
      </w:r>
    </w:p>
    <w:p w14:paraId="1D40252F" w14:textId="77777777" w:rsidR="008377EF" w:rsidRDefault="008377EF">
      <w:pPr>
        <w:spacing w:after="120" w:line="240" w:lineRule="auto"/>
        <w:jc w:val="both"/>
        <w:rPr>
          <w:rFonts w:ascii="Source Sans Pro" w:eastAsia="Source Sans Pro" w:hAnsi="Source Sans Pro" w:cs="Source Sans Pro"/>
          <w:i/>
          <w:highlight w:val="white"/>
        </w:rPr>
      </w:pPr>
    </w:p>
    <w:p w14:paraId="40DF44C1" w14:textId="77777777" w:rsidR="008377EF" w:rsidRDefault="00000000">
      <w:pPr>
        <w:spacing w:after="0"/>
        <w:rPr>
          <w:rFonts w:ascii="Source Sans Pro" w:eastAsia="Source Sans Pro" w:hAnsi="Source Sans Pro" w:cs="Source Sans Pro"/>
          <w:b/>
        </w:rPr>
      </w:pPr>
      <w:r>
        <w:rPr>
          <w:rFonts w:ascii="Source Sans Pro" w:eastAsia="Source Sans Pro" w:hAnsi="Source Sans Pro" w:cs="Source Sans Pro"/>
          <w:b/>
        </w:rPr>
        <w:t>Contatti ufficio stampa Cubbit</w:t>
      </w:r>
    </w:p>
    <w:p w14:paraId="505D814B" w14:textId="77777777" w:rsidR="008377EF" w:rsidRDefault="00000000">
      <w:pPr>
        <w:spacing w:after="0" w:line="240" w:lineRule="auto"/>
        <w:rPr>
          <w:rFonts w:ascii="Source Sans Pro" w:eastAsia="Source Sans Pro" w:hAnsi="Source Sans Pro" w:cs="Source Sans Pro"/>
        </w:rPr>
      </w:pPr>
      <w:r>
        <w:rPr>
          <w:rFonts w:ascii="Source Sans Pro" w:eastAsia="Source Sans Pro" w:hAnsi="Source Sans Pro" w:cs="Source Sans Pro"/>
        </w:rPr>
        <w:t>Francesco Pazzaglia</w:t>
      </w:r>
    </w:p>
    <w:p w14:paraId="2E360AA4" w14:textId="77777777" w:rsidR="008377EF" w:rsidRPr="006A3B85" w:rsidRDefault="00000000">
      <w:pPr>
        <w:spacing w:after="0" w:line="240" w:lineRule="auto"/>
        <w:rPr>
          <w:rFonts w:ascii="Source Sans Pro" w:eastAsia="Source Sans Pro" w:hAnsi="Source Sans Pro" w:cs="Source Sans Pro"/>
          <w:lang w:val="en-GB"/>
        </w:rPr>
      </w:pPr>
      <w:r w:rsidRPr="006A3B85">
        <w:rPr>
          <w:rFonts w:ascii="Source Sans Pro" w:eastAsia="Source Sans Pro" w:hAnsi="Source Sans Pro" w:cs="Source Sans Pro"/>
          <w:lang w:val="en-GB"/>
        </w:rPr>
        <w:t xml:space="preserve">francesco.pazzaglia@cubbit.io  </w:t>
      </w:r>
    </w:p>
    <w:p w14:paraId="6A42FABC" w14:textId="77777777" w:rsidR="008377EF" w:rsidRDefault="00000000">
      <w:pPr>
        <w:spacing w:after="0" w:line="240" w:lineRule="auto"/>
        <w:rPr>
          <w:rFonts w:ascii="Source Sans Pro" w:eastAsia="Source Sans Pro" w:hAnsi="Source Sans Pro" w:cs="Source Sans Pro"/>
        </w:rPr>
      </w:pPr>
      <w:r w:rsidRPr="006A3B85">
        <w:rPr>
          <w:rFonts w:ascii="Source Sans Pro" w:eastAsia="Source Sans Pro" w:hAnsi="Source Sans Pro" w:cs="Source Sans Pro"/>
          <w:lang w:val="en-GB"/>
        </w:rPr>
        <w:t xml:space="preserve">cell. </w:t>
      </w:r>
      <w:r>
        <w:rPr>
          <w:rFonts w:ascii="Source Sans Pro" w:eastAsia="Source Sans Pro" w:hAnsi="Source Sans Pro" w:cs="Source Sans Pro"/>
        </w:rPr>
        <w:t>3342339101</w:t>
      </w:r>
    </w:p>
    <w:p w14:paraId="2699F13D" w14:textId="77777777" w:rsidR="008377EF" w:rsidRDefault="00000000">
      <w:pPr>
        <w:spacing w:after="120" w:line="240" w:lineRule="auto"/>
        <w:jc w:val="both"/>
        <w:rPr>
          <w:rFonts w:ascii="Source Sans Pro" w:eastAsia="Source Sans Pro" w:hAnsi="Source Sans Pro" w:cs="Source Sans Pro"/>
          <w:b/>
          <w:i/>
          <w:color w:val="212121"/>
          <w:sz w:val="24"/>
          <w:szCs w:val="24"/>
        </w:rPr>
      </w:pPr>
      <w:r>
        <w:br w:type="page"/>
      </w:r>
    </w:p>
    <w:p w14:paraId="7AC87D0F" w14:textId="77777777" w:rsidR="008377EF" w:rsidRDefault="00000000">
      <w:pPr>
        <w:spacing w:after="0" w:line="240" w:lineRule="auto"/>
        <w:jc w:val="center"/>
        <w:rPr>
          <w:rFonts w:ascii="Source Sans Pro" w:eastAsia="Source Sans Pro" w:hAnsi="Source Sans Pro" w:cs="Source Sans Pro"/>
          <w:i/>
          <w:color w:val="212121"/>
        </w:rPr>
      </w:pPr>
      <w:r>
        <w:rPr>
          <w:rFonts w:ascii="Source Sans Pro" w:eastAsia="Source Sans Pro" w:hAnsi="Source Sans Pro" w:cs="Source Sans Pro"/>
          <w:b/>
          <w:i/>
          <w:color w:val="212121"/>
          <w:sz w:val="24"/>
          <w:szCs w:val="24"/>
        </w:rPr>
        <w:lastRenderedPageBreak/>
        <w:t>📢 Line-up Preview | The Bologna Gathering 2025</w:t>
      </w:r>
    </w:p>
    <w:p w14:paraId="7872A8B9" w14:textId="77777777" w:rsidR="008377EF" w:rsidRDefault="008377EF">
      <w:pPr>
        <w:spacing w:after="0" w:line="240" w:lineRule="auto"/>
        <w:rPr>
          <w:rFonts w:ascii="Source Sans Pro" w:eastAsia="Source Sans Pro" w:hAnsi="Source Sans Pro" w:cs="Source Sans Pro"/>
          <w:i/>
          <w:color w:val="212121"/>
        </w:rPr>
      </w:pPr>
    </w:p>
    <w:p w14:paraId="61BFC035" w14:textId="77777777" w:rsidR="008377EF" w:rsidRDefault="00000000">
      <w:pPr>
        <w:spacing w:after="120" w:line="240" w:lineRule="auto"/>
        <w:jc w:val="center"/>
        <w:rPr>
          <w:rFonts w:ascii="Source Sans Pro" w:eastAsia="Source Sans Pro" w:hAnsi="Source Sans Pro" w:cs="Source Sans Pro"/>
          <w:b/>
        </w:rPr>
      </w:pPr>
      <w:r>
        <w:rPr>
          <w:rFonts w:ascii="Source Sans Pro" w:eastAsia="Source Sans Pro" w:hAnsi="Source Sans Pro" w:cs="Source Sans Pro"/>
          <w:b/>
        </w:rPr>
        <w:t>🌍 Investitori VCs (international)</w:t>
      </w:r>
    </w:p>
    <w:p w14:paraId="143DACF7" w14:textId="77777777" w:rsidR="008377EF" w:rsidRDefault="00000000">
      <w:pPr>
        <w:spacing w:after="120" w:line="240" w:lineRule="auto"/>
        <w:jc w:val="center"/>
        <w:rPr>
          <w:rFonts w:ascii="Source Sans Pro" w:eastAsia="Source Sans Pro" w:hAnsi="Source Sans Pro" w:cs="Source Sans Pro"/>
          <w:i/>
        </w:rPr>
      </w:pPr>
      <w:r>
        <w:rPr>
          <w:rFonts w:ascii="Source Sans Pro" w:eastAsia="Source Sans Pro" w:hAnsi="Source Sans Pro" w:cs="Source Sans Pro"/>
          <w:i/>
        </w:rPr>
        <w:t>Agreen.Fund, Armilar, Asahi Kasei Europe, Aster Capital, Balderton, Blackrock, Contrarian Ventures, DFF Ventures, Dream Ventures, DTCP, EarlyBird, Eight Roads, Energy &amp; Environment Investment, ETF Partners, Eurazeo, Founders Factory, Future Energy Ventures - FEV, Grey Silo Ventures, Hitachi Ventures (CVC), Hoxton Ventures, IMPACT Partners, Indico Capital, Ion Pacific, Join Capital, Leo Capital, Moonstone VC, Omnes Capital, Outlast Fund, Red-stars.com, Scale Capital, Senovo, Speedinvest, Tyrion Partners, White Star Capital.</w:t>
      </w:r>
    </w:p>
    <w:p w14:paraId="1D212EF0" w14:textId="77777777" w:rsidR="008377EF" w:rsidRDefault="008377EF">
      <w:pPr>
        <w:spacing w:after="120" w:line="240" w:lineRule="auto"/>
        <w:jc w:val="center"/>
        <w:rPr>
          <w:rFonts w:ascii="Source Sans Pro" w:eastAsia="Source Sans Pro" w:hAnsi="Source Sans Pro" w:cs="Source Sans Pro"/>
        </w:rPr>
      </w:pPr>
    </w:p>
    <w:p w14:paraId="1D12714D" w14:textId="77777777" w:rsidR="008377EF" w:rsidRDefault="00000000">
      <w:pPr>
        <w:spacing w:after="120" w:line="240" w:lineRule="auto"/>
        <w:jc w:val="center"/>
        <w:rPr>
          <w:rFonts w:ascii="Source Sans Pro" w:eastAsia="Source Sans Pro" w:hAnsi="Source Sans Pro" w:cs="Source Sans Pro"/>
          <w:b/>
        </w:rPr>
      </w:pPr>
      <w:r>
        <w:rPr>
          <w:rFonts w:ascii="Source Sans Pro" w:eastAsia="Source Sans Pro" w:hAnsi="Source Sans Pro" w:cs="Source Sans Pro"/>
          <w:b/>
        </w:rPr>
        <w:t>🌱*Investitori VCs and Family Offices (con sede in Italia):</w:t>
      </w:r>
    </w:p>
    <w:p w14:paraId="67914EB8" w14:textId="77777777" w:rsidR="008377EF" w:rsidRDefault="00000000">
      <w:pPr>
        <w:spacing w:after="0" w:line="240" w:lineRule="auto"/>
        <w:jc w:val="center"/>
        <w:rPr>
          <w:rFonts w:ascii="Source Sans Pro" w:eastAsia="Source Sans Pro" w:hAnsi="Source Sans Pro" w:cs="Source Sans Pro"/>
          <w:i/>
        </w:rPr>
      </w:pPr>
      <w:r>
        <w:rPr>
          <w:rFonts w:ascii="Source Sans Pro" w:eastAsia="Source Sans Pro" w:hAnsi="Source Sans Pro" w:cs="Source Sans Pro"/>
          <w:i/>
        </w:rPr>
        <w:t>2100 Ventures, 20 Fund, Alecla7, Alpha Venture / Rainmakers, Atempo Growth, B Heroes, BGroup (Seragnoli), Blacksheep Ventures, CDP Venture Capital, CDP Venture Capital Fondo Evoluzione, Deep Ocean Capital, Feedel Venture, FNDX, Fondazione Social Venture GDA, Giano Capital, Growth Engine, Haystack Ventures, Italian Founders Fund (IFF), Kairos Partners, LIFTT, Maya Investments, MiTO, NEVA (independent), Nextalia SGR, Nova Capital, OBLOO, Obloo (E-R fund), Over Ventures, Planven, Plug&amp;Play Italy, Primo Capital, Punch Capital, Rancilio Cube, Sella Direct Ventures, Step Venture, Tech Stars, The Liquid Factory, Ulixes Partners, United Ventures, Ventive, Vento, ZEST.</w:t>
      </w:r>
    </w:p>
    <w:p w14:paraId="4C85C814" w14:textId="77777777" w:rsidR="008377EF" w:rsidRDefault="008377EF">
      <w:pPr>
        <w:spacing w:after="0" w:line="240" w:lineRule="auto"/>
        <w:rPr>
          <w:rFonts w:ascii="Source Sans Pro" w:eastAsia="Source Sans Pro" w:hAnsi="Source Sans Pro" w:cs="Source Sans Pro"/>
        </w:rPr>
      </w:pPr>
    </w:p>
    <w:p w14:paraId="43597BEF" w14:textId="77777777" w:rsidR="008377EF" w:rsidRDefault="00000000">
      <w:pPr>
        <w:spacing w:after="0" w:line="240" w:lineRule="auto"/>
        <w:jc w:val="center"/>
        <w:rPr>
          <w:rFonts w:ascii="Source Sans Pro" w:eastAsia="Source Sans Pro" w:hAnsi="Source Sans Pro" w:cs="Source Sans Pro"/>
          <w:b/>
          <w:i/>
        </w:rPr>
      </w:pPr>
      <w:r>
        <w:rPr>
          <w:rFonts w:ascii="Source Sans Pro" w:eastAsia="Source Sans Pro" w:hAnsi="Source Sans Pro" w:cs="Source Sans Pro"/>
          <w:b/>
          <w:i/>
        </w:rPr>
        <w:t>💼 Corporates</w:t>
      </w:r>
    </w:p>
    <w:p w14:paraId="5AF46367" w14:textId="77777777" w:rsidR="008377EF" w:rsidRDefault="008377EF">
      <w:pPr>
        <w:spacing w:after="0" w:line="240" w:lineRule="auto"/>
        <w:jc w:val="center"/>
        <w:rPr>
          <w:rFonts w:ascii="Source Sans Pro" w:eastAsia="Source Sans Pro" w:hAnsi="Source Sans Pro" w:cs="Source Sans Pro"/>
          <w:i/>
        </w:rPr>
      </w:pPr>
    </w:p>
    <w:p w14:paraId="6C964F9D" w14:textId="77777777" w:rsidR="008377EF" w:rsidRDefault="00000000">
      <w:pPr>
        <w:spacing w:after="0" w:line="240" w:lineRule="auto"/>
        <w:jc w:val="center"/>
        <w:rPr>
          <w:rFonts w:ascii="Source Sans Pro" w:eastAsia="Source Sans Pro" w:hAnsi="Source Sans Pro" w:cs="Source Sans Pro"/>
          <w:i/>
        </w:rPr>
      </w:pPr>
      <w:r>
        <w:rPr>
          <w:rFonts w:ascii="Source Sans Pro" w:eastAsia="Source Sans Pro" w:hAnsi="Source Sans Pro" w:cs="Source Sans Pro"/>
          <w:i/>
        </w:rPr>
        <w:t>ABB, Aruba, Azimut Libera Impresa, Baker Tilly Italia, CAAB, CNH Industrial, CNS, CRIF SpA, CURTI Industries, Dallara, E4 Computer, Electrolux, Engineering, Eurenergia, Fastweb+Vodafone, Fincantieri, Gruppo Hera, Hyntelo (Gruppo Assist Digital), Intesa Sanpaolo e Intesa Sanpaolo Private, JP Morgan, Leonardo, Lepida, Max Mara Fashion Group, Menarini Silicon Biosystems, Namirial Spa, Pelliconi, Pirelli, Piquadro, PwC, Rai Way, RCF SPA, Sacmi s.c., SAP Global Private Equity, SEW Eurodrive, SOL Group, Soriano Group, TeamSystem, Tetrapak, TIM,  UniCredit e UniCredit - StartLab, WExecutive, Wiit Spa, Zanichelli Editore.</w:t>
      </w:r>
    </w:p>
    <w:p w14:paraId="5D793B23" w14:textId="77777777" w:rsidR="008377EF" w:rsidRDefault="008377EF">
      <w:pPr>
        <w:spacing w:after="0" w:line="240" w:lineRule="auto"/>
        <w:jc w:val="center"/>
        <w:rPr>
          <w:rFonts w:ascii="Source Sans Pro" w:eastAsia="Source Sans Pro" w:hAnsi="Source Sans Pro" w:cs="Source Sans Pro"/>
          <w:i/>
        </w:rPr>
      </w:pPr>
    </w:p>
    <w:p w14:paraId="0EDE865C" w14:textId="77777777" w:rsidR="008377EF" w:rsidRDefault="00000000">
      <w:pPr>
        <w:spacing w:after="0" w:line="240" w:lineRule="auto"/>
        <w:jc w:val="center"/>
        <w:rPr>
          <w:rFonts w:ascii="Source Sans Pro" w:eastAsia="Source Sans Pro" w:hAnsi="Source Sans Pro" w:cs="Source Sans Pro"/>
          <w:b/>
          <w:i/>
        </w:rPr>
      </w:pPr>
      <w:r>
        <w:rPr>
          <w:rFonts w:ascii="Source Sans Pro" w:eastAsia="Source Sans Pro" w:hAnsi="Source Sans Pro" w:cs="Source Sans Pro"/>
          <w:b/>
          <w:i/>
        </w:rPr>
        <w:t>🚀 Startups/Scaleups</w:t>
      </w:r>
    </w:p>
    <w:p w14:paraId="09D52655" w14:textId="77777777" w:rsidR="008377EF" w:rsidRDefault="00000000">
      <w:pPr>
        <w:spacing w:after="0" w:line="240" w:lineRule="auto"/>
        <w:jc w:val="center"/>
        <w:rPr>
          <w:rFonts w:ascii="Source Sans Pro" w:eastAsia="Source Sans Pro" w:hAnsi="Source Sans Pro" w:cs="Source Sans Pro"/>
          <w:i/>
        </w:rPr>
      </w:pPr>
      <w:r>
        <w:rPr>
          <w:rFonts w:ascii="Source Sans Pro" w:eastAsia="Source Sans Pro" w:hAnsi="Source Sans Pro" w:cs="Source Sans Pro"/>
          <w:i/>
        </w:rPr>
        <w:t xml:space="preserve"> </w:t>
      </w:r>
    </w:p>
    <w:p w14:paraId="512C331D" w14:textId="77777777" w:rsidR="008377EF" w:rsidRDefault="00000000">
      <w:pPr>
        <w:spacing w:after="0" w:line="240" w:lineRule="auto"/>
        <w:jc w:val="center"/>
        <w:rPr>
          <w:rFonts w:ascii="Source Sans Pro" w:eastAsia="Source Sans Pro" w:hAnsi="Source Sans Pro" w:cs="Source Sans Pro"/>
          <w:i/>
        </w:rPr>
      </w:pPr>
      <w:r>
        <w:rPr>
          <w:rFonts w:ascii="Source Sans Pro" w:eastAsia="Source Sans Pro" w:hAnsi="Source Sans Pro" w:cs="Source Sans Pro"/>
          <w:i/>
        </w:rPr>
        <w:t>Arsenale BioYards, Astreo, Awentia Vision Technologies, BKN301, BonusX, Celeste, Complaion, Connectia, Crono, Cyberating Srl, Dabohn Srl, D-Orbit, e-plato, eAgronom, Exein, FABA, Foreverland Food, Golbriak Space, HMDrive S.r.l., IdentifAI, iGenius, Lexroom, Makadamia Srl, MAMA SCIENCE S.R.L., Meddle Srl, Minerva System, MON5, Qomodo, Raiku, Reportaid, Robotizr Srl, Samaya AI, Satispay, Scuter, Sibill, SiPearl, Skudo, Subbyx, Supaso, Tinental, Truescreen, Unguess, Wayla.</w:t>
      </w:r>
    </w:p>
    <w:p w14:paraId="27B1CE22" w14:textId="77777777" w:rsidR="008377EF" w:rsidRDefault="008377EF">
      <w:pPr>
        <w:spacing w:after="0" w:line="240" w:lineRule="auto"/>
        <w:jc w:val="center"/>
        <w:rPr>
          <w:rFonts w:ascii="Source Sans Pro" w:eastAsia="Source Sans Pro" w:hAnsi="Source Sans Pro" w:cs="Source Sans Pro"/>
          <w:i/>
        </w:rPr>
      </w:pPr>
    </w:p>
    <w:p w14:paraId="6B3DA5B9" w14:textId="77777777" w:rsidR="008377EF" w:rsidRDefault="00000000">
      <w:pPr>
        <w:spacing w:after="0" w:line="240" w:lineRule="auto"/>
        <w:jc w:val="center"/>
        <w:rPr>
          <w:rFonts w:ascii="Source Sans Pro" w:eastAsia="Source Sans Pro" w:hAnsi="Source Sans Pro" w:cs="Source Sans Pro"/>
          <w:b/>
          <w:i/>
        </w:rPr>
      </w:pPr>
      <w:r>
        <w:rPr>
          <w:rFonts w:ascii="Source Sans Pro" w:eastAsia="Source Sans Pro" w:hAnsi="Source Sans Pro" w:cs="Source Sans Pro"/>
          <w:b/>
          <w:i/>
        </w:rPr>
        <w:t>💡 Innovators</w:t>
      </w:r>
    </w:p>
    <w:p w14:paraId="370B8CF7" w14:textId="77777777" w:rsidR="008377EF" w:rsidRDefault="008377EF">
      <w:pPr>
        <w:spacing w:after="0" w:line="240" w:lineRule="auto"/>
        <w:jc w:val="center"/>
        <w:rPr>
          <w:rFonts w:ascii="Source Sans Pro" w:eastAsia="Source Sans Pro" w:hAnsi="Source Sans Pro" w:cs="Source Sans Pro"/>
          <w:i/>
        </w:rPr>
      </w:pPr>
    </w:p>
    <w:p w14:paraId="512BA2CA" w14:textId="77777777" w:rsidR="008377EF" w:rsidRDefault="00000000">
      <w:pPr>
        <w:spacing w:after="0" w:line="240" w:lineRule="auto"/>
        <w:jc w:val="center"/>
        <w:rPr>
          <w:rFonts w:ascii="Source Sans Pro" w:eastAsia="Source Sans Pro" w:hAnsi="Source Sans Pro" w:cs="Source Sans Pro"/>
          <w:i/>
        </w:rPr>
      </w:pPr>
      <w:r>
        <w:rPr>
          <w:rFonts w:ascii="Source Sans Pro" w:eastAsia="Source Sans Pro" w:hAnsi="Source Sans Pro" w:cs="Source Sans Pro"/>
          <w:i/>
        </w:rPr>
        <w:t>A3 Cube Inc., Akka.app, Clust-er Innovate, CRIT srl, Dock, Dynamo, e-Residency, Emotion Network, Endeavor Italy, Enterprise Estonia, Future Food Institute,  I3P, IFAB, Italian Tech Alliance, Latvian Investment Agency, LIL Milan, Mediter Partners, Pick1/HyperFair, Siena Lane Partners, Talent Garden, Tech Europe Foundation, UrbanHub, Vantaa City.</w:t>
      </w:r>
    </w:p>
    <w:p w14:paraId="12110F07" w14:textId="77777777" w:rsidR="008377EF" w:rsidRDefault="008377EF">
      <w:pPr>
        <w:spacing w:after="0" w:line="240" w:lineRule="auto"/>
        <w:jc w:val="center"/>
        <w:rPr>
          <w:rFonts w:ascii="Source Sans Pro" w:eastAsia="Source Sans Pro" w:hAnsi="Source Sans Pro" w:cs="Source Sans Pro"/>
          <w:i/>
        </w:rPr>
      </w:pPr>
    </w:p>
    <w:p w14:paraId="337A4BBF" w14:textId="77777777" w:rsidR="008377EF" w:rsidRDefault="00000000">
      <w:pPr>
        <w:spacing w:after="0" w:line="240" w:lineRule="auto"/>
        <w:jc w:val="center"/>
        <w:rPr>
          <w:rFonts w:ascii="Source Sans Pro" w:eastAsia="Source Sans Pro" w:hAnsi="Source Sans Pro" w:cs="Source Sans Pro"/>
          <w:b/>
          <w:i/>
        </w:rPr>
      </w:pPr>
      <w:r>
        <w:rPr>
          <w:rFonts w:ascii="Source Sans Pro" w:eastAsia="Source Sans Pro" w:hAnsi="Source Sans Pro" w:cs="Source Sans Pro"/>
          <w:b/>
          <w:i/>
        </w:rPr>
        <w:t>🎤 Speakers</w:t>
      </w:r>
    </w:p>
    <w:p w14:paraId="75B8ADCF" w14:textId="77777777" w:rsidR="008377EF" w:rsidRDefault="008377EF">
      <w:pPr>
        <w:spacing w:after="0" w:line="240" w:lineRule="auto"/>
        <w:jc w:val="center"/>
        <w:rPr>
          <w:rFonts w:ascii="Source Sans Pro" w:eastAsia="Source Sans Pro" w:hAnsi="Source Sans Pro" w:cs="Source Sans Pro"/>
          <w:i/>
        </w:rPr>
      </w:pPr>
    </w:p>
    <w:p w14:paraId="48F0CCB8" w14:textId="77777777" w:rsidR="008377EF" w:rsidRDefault="00000000">
      <w:pPr>
        <w:spacing w:after="0" w:line="240" w:lineRule="auto"/>
        <w:jc w:val="center"/>
        <w:rPr>
          <w:rFonts w:ascii="Source Sans Pro" w:eastAsia="Source Sans Pro" w:hAnsi="Source Sans Pro" w:cs="Source Sans Pro"/>
          <w:i/>
          <w:color w:val="FF0000"/>
          <w:highlight w:val="yellow"/>
        </w:rPr>
      </w:pPr>
      <w:r>
        <w:rPr>
          <w:rFonts w:ascii="Source Sans Pro" w:eastAsia="Source Sans Pro" w:hAnsi="Source Sans Pro" w:cs="Source Sans Pro"/>
          <w:i/>
          <w:highlight w:val="white"/>
        </w:rPr>
        <w:t xml:space="preserve">Alec Ross (esperto di politica tecnologica, imprenditore e distinguished professor), Alessandro Scortecci (Chief Investment Officer, CDP Venture Capital), </w:t>
      </w:r>
      <w:r>
        <w:rPr>
          <w:rFonts w:ascii="Source Sans Pro" w:eastAsia="Source Sans Pro" w:hAnsi="Source Sans Pro" w:cs="Source Sans Pro"/>
          <w:i/>
        </w:rPr>
        <w:t xml:space="preserve">Elena Moneta (Principal, Balderton Capital), </w:t>
      </w:r>
      <w:r>
        <w:rPr>
          <w:rFonts w:ascii="Source Sans Pro" w:eastAsia="Source Sans Pro" w:hAnsi="Source Sans Pro" w:cs="Source Sans Pro"/>
          <w:i/>
          <w:highlight w:val="white"/>
        </w:rPr>
        <w:t xml:space="preserve">Fabio Nalucci (Founder, FNDX e Gellify),  Francesco Ubertini (Presidente, CINECA), </w:t>
      </w:r>
      <w:r>
        <w:rPr>
          <w:rFonts w:ascii="Source Sans Pro" w:eastAsia="Source Sans Pro" w:hAnsi="Source Sans Pro" w:cs="Source Sans Pro"/>
          <w:i/>
        </w:rPr>
        <w:t xml:space="preserve">Gianni Cuozzo (CEO, Exein), </w:t>
      </w:r>
      <w:r>
        <w:rPr>
          <w:rFonts w:ascii="Source Sans Pro" w:eastAsia="Source Sans Pro" w:hAnsi="Source Sans Pro" w:cs="Source Sans Pro"/>
          <w:i/>
          <w:highlight w:val="white"/>
        </w:rPr>
        <w:t xml:space="preserve"> Massimiliano Pellegrini (CEO, Namirial), Laurens Groenendijk (Founder, JustEat e DFF), Pierluigi Paracchi (founder di Genenta Science, quotata al NASDAQ) </w:t>
      </w:r>
      <w:r>
        <w:rPr>
          <w:rFonts w:ascii="Source Sans Pro" w:eastAsia="Source Sans Pro" w:hAnsi="Source Sans Pro" w:cs="Source Sans Pro"/>
          <w:i/>
        </w:rPr>
        <w:t>e molti altri.</w:t>
      </w:r>
    </w:p>
    <w:p w14:paraId="58EA85AF" w14:textId="77777777" w:rsidR="008377EF" w:rsidRDefault="008377EF">
      <w:pPr>
        <w:widowControl w:val="0"/>
        <w:spacing w:after="0" w:line="240" w:lineRule="auto"/>
        <w:rPr>
          <w:rFonts w:ascii="Source Sans Pro" w:eastAsia="Source Sans Pro" w:hAnsi="Source Sans Pro" w:cs="Source Sans Pro"/>
        </w:rPr>
      </w:pPr>
    </w:p>
    <w:p w14:paraId="3817786B" w14:textId="77777777" w:rsidR="008377EF" w:rsidRDefault="008377EF">
      <w:pPr>
        <w:spacing w:after="120" w:line="240" w:lineRule="auto"/>
        <w:jc w:val="both"/>
        <w:rPr>
          <w:rFonts w:ascii="Source Sans Pro" w:eastAsia="Source Sans Pro" w:hAnsi="Source Sans Pro" w:cs="Source Sans Pro"/>
          <w:b/>
        </w:rPr>
      </w:pPr>
    </w:p>
    <w:p w14:paraId="777385A6" w14:textId="77777777" w:rsidR="008377EF" w:rsidRDefault="00000000">
      <w:pPr>
        <w:spacing w:after="120" w:line="240" w:lineRule="auto"/>
        <w:jc w:val="both"/>
        <w:rPr>
          <w:rFonts w:ascii="Source Sans Pro" w:eastAsia="Source Sans Pro" w:hAnsi="Source Sans Pro" w:cs="Source Sans Pro"/>
          <w:b/>
          <w:color w:val="4A86E8"/>
        </w:rPr>
      </w:pPr>
      <w:r>
        <w:br w:type="page"/>
      </w:r>
    </w:p>
    <w:p w14:paraId="25DB16E9" w14:textId="77777777" w:rsidR="008377EF" w:rsidRDefault="00000000">
      <w:pPr>
        <w:spacing w:after="120" w:line="240" w:lineRule="auto"/>
        <w:jc w:val="both"/>
        <w:rPr>
          <w:rFonts w:ascii="Source Sans Pro" w:eastAsia="Source Sans Pro" w:hAnsi="Source Sans Pro" w:cs="Source Sans Pro"/>
        </w:rPr>
      </w:pPr>
      <w:r>
        <w:rPr>
          <w:rFonts w:ascii="Source Sans Pro" w:eastAsia="Source Sans Pro" w:hAnsi="Source Sans Pro" w:cs="Source Sans Pro"/>
          <w:b/>
          <w:color w:val="4A86E8"/>
        </w:rPr>
        <w:lastRenderedPageBreak/>
        <w:t xml:space="preserve">I partner dell’evento: </w:t>
      </w:r>
    </w:p>
    <w:p w14:paraId="610AA7CF" w14:textId="77777777" w:rsidR="008377EF" w:rsidRDefault="008377EF">
      <w:pPr>
        <w:spacing w:after="0" w:line="240" w:lineRule="auto"/>
        <w:ind w:right="-330"/>
        <w:jc w:val="both"/>
        <w:rPr>
          <w:rFonts w:ascii="Source Sans Pro" w:eastAsia="Source Sans Pro" w:hAnsi="Source Sans Pro" w:cs="Source Sans Pro"/>
        </w:rPr>
      </w:pPr>
    </w:p>
    <w:p w14:paraId="70D48EC2" w14:textId="77777777" w:rsidR="008377EF" w:rsidRDefault="00000000">
      <w:pPr>
        <w:spacing w:after="120" w:line="240" w:lineRule="auto"/>
        <w:jc w:val="both"/>
        <w:rPr>
          <w:rFonts w:ascii="Source Sans Pro" w:eastAsia="Source Sans Pro" w:hAnsi="Source Sans Pro" w:cs="Source Sans Pro"/>
          <w:highlight w:val="white"/>
        </w:rPr>
      </w:pPr>
      <w:r>
        <w:rPr>
          <w:rFonts w:ascii="Source Sans Pro" w:eastAsia="Source Sans Pro" w:hAnsi="Source Sans Pro" w:cs="Source Sans Pro"/>
          <w:b/>
        </w:rPr>
        <w:t>CTE COBO - Casa delle Tecnologie Emergenti del Comune di Bologna</w:t>
      </w:r>
      <w:r>
        <w:rPr>
          <w:rFonts w:ascii="Source Sans Pro" w:eastAsia="Source Sans Pro" w:hAnsi="Source Sans Pro" w:cs="Source Sans Pro"/>
        </w:rPr>
        <w:t xml:space="preserve"> - Progetto di punta della piattaforma dell’innovazione</w:t>
      </w:r>
      <w:hyperlink r:id="rId8">
        <w:r>
          <w:rPr>
            <w:rFonts w:ascii="Source Sans Pro" w:eastAsia="Source Sans Pro" w:hAnsi="Source Sans Pro" w:cs="Source Sans Pro"/>
          </w:rPr>
          <w:t xml:space="preserve"> </w:t>
        </w:r>
      </w:hyperlink>
      <w:hyperlink r:id="rId9">
        <w:r>
          <w:rPr>
            <w:rFonts w:ascii="Source Sans Pro" w:eastAsia="Source Sans Pro" w:hAnsi="Source Sans Pro" w:cs="Source Sans Pro"/>
            <w:i/>
          </w:rPr>
          <w:t>Bologna Innovation Square</w:t>
        </w:r>
      </w:hyperlink>
      <w:r>
        <w:rPr>
          <w:rFonts w:ascii="Source Sans Pro" w:eastAsia="Source Sans Pro" w:hAnsi="Source Sans Pro" w:cs="Source Sans Pro"/>
        </w:rPr>
        <w:t xml:space="preserve"> di Città metropolitana e Comune di Bologna, CTE COBO è un centro di trasferimento tecnologico diffuso con un budget di quasi </w:t>
      </w:r>
      <w:r>
        <w:rPr>
          <w:rFonts w:ascii="Source Sans Pro" w:eastAsia="Source Sans Pro" w:hAnsi="Source Sans Pro" w:cs="Source Sans Pro"/>
          <w:b/>
        </w:rPr>
        <w:t>20 mln €</w:t>
      </w:r>
      <w:r>
        <w:rPr>
          <w:rFonts w:ascii="Source Sans Pro" w:eastAsia="Source Sans Pro" w:hAnsi="Source Sans Pro" w:cs="Source Sans Pro"/>
        </w:rPr>
        <w:t xml:space="preserve">. Con il </w:t>
      </w:r>
      <w:r>
        <w:rPr>
          <w:rFonts w:ascii="Source Sans Pro" w:eastAsia="Source Sans Pro" w:hAnsi="Source Sans Pro" w:cs="Source Sans Pro"/>
          <w:b/>
        </w:rPr>
        <w:t xml:space="preserve">più alto finanziamento in Italia </w:t>
      </w:r>
      <w:r>
        <w:rPr>
          <w:rFonts w:ascii="Source Sans Pro" w:eastAsia="Source Sans Pro" w:hAnsi="Source Sans Pro" w:cs="Source Sans Pro"/>
        </w:rPr>
        <w:t xml:space="preserve">del MiMiT nell’ambito delle CTE e </w:t>
      </w:r>
      <w:r>
        <w:rPr>
          <w:rFonts w:ascii="Source Sans Pro" w:eastAsia="Source Sans Pro" w:hAnsi="Source Sans Pro" w:cs="Source Sans Pro"/>
          <w:b/>
        </w:rPr>
        <w:t>16 partner</w:t>
      </w:r>
      <w:r>
        <w:rPr>
          <w:rFonts w:ascii="Source Sans Pro" w:eastAsia="Source Sans Pro" w:hAnsi="Source Sans Pro" w:cs="Source Sans Pro"/>
        </w:rPr>
        <w:t xml:space="preserve"> (tra cui Comune e Città metropolitana di Bologna, ART-ER, BI-REX, G-Factor, GELLIFY e Cineca), mira a costituire una rete di soggetti che crei la base di un ecosistema di innovazione unico nel panorama nazionale a supporto delle sfide tecnologiche di imprese e PA grazie alle nuove tecnologie emergenti abilitate dal 5G (IoT, Intelligenza Artificiale, Blockchain). In poco più di un anno di attività ha assegnato oltre </w:t>
      </w:r>
      <w:r>
        <w:rPr>
          <w:rFonts w:ascii="Source Sans Pro" w:eastAsia="Source Sans Pro" w:hAnsi="Source Sans Pro" w:cs="Source Sans Pro"/>
          <w:b/>
        </w:rPr>
        <w:t>2.5 mln € a 62 imprese e startup</w:t>
      </w:r>
      <w:r>
        <w:rPr>
          <w:rFonts w:ascii="Source Sans Pro" w:eastAsia="Source Sans Pro" w:hAnsi="Source Sans Pro" w:cs="Source Sans Pro"/>
        </w:rPr>
        <w:t>, coinvolto più di 400 aziende, incubatori, acceleratori, competence center, professionisti e ricercatori. www.ctecobo.it</w:t>
      </w:r>
      <w:r>
        <w:rPr>
          <w:rFonts w:ascii="Source Sans Pro" w:eastAsia="Source Sans Pro" w:hAnsi="Source Sans Pro" w:cs="Source Sans Pro"/>
        </w:rPr>
        <w:br/>
      </w:r>
      <w:r>
        <w:rPr>
          <w:rFonts w:ascii="Source Sans Pro" w:eastAsia="Source Sans Pro" w:hAnsi="Source Sans Pro" w:cs="Source Sans Pro"/>
        </w:rPr>
        <w:br/>
      </w:r>
      <w:r>
        <w:rPr>
          <w:rFonts w:ascii="Source Sans Pro" w:eastAsia="Source Sans Pro" w:hAnsi="Source Sans Pro" w:cs="Source Sans Pro"/>
          <w:b/>
        </w:rPr>
        <w:t xml:space="preserve">CTE Case delle Tecnologie Emergenti (Houses of Emerging Technologies) - </w:t>
      </w:r>
      <w:r>
        <w:rPr>
          <w:rFonts w:ascii="Source Sans Pro" w:eastAsia="Source Sans Pro" w:hAnsi="Source Sans Pro" w:cs="Source Sans Pro"/>
          <w:highlight w:val="white"/>
        </w:rPr>
        <w:t xml:space="preserve">Le </w:t>
      </w:r>
      <w:r>
        <w:rPr>
          <w:rFonts w:ascii="Source Sans Pro" w:eastAsia="Source Sans Pro" w:hAnsi="Source Sans Pro" w:cs="Source Sans Pro"/>
          <w:b/>
          <w:highlight w:val="white"/>
        </w:rPr>
        <w:t>Case delle Tecnologie Emergenti (CTE)</w:t>
      </w:r>
      <w:r>
        <w:rPr>
          <w:rFonts w:ascii="Source Sans Pro" w:eastAsia="Source Sans Pro" w:hAnsi="Source Sans Pro" w:cs="Source Sans Pro"/>
          <w:highlight w:val="white"/>
        </w:rPr>
        <w:t xml:space="preserve">, nate nel 2019 su iniziativa del </w:t>
      </w:r>
      <w:r>
        <w:rPr>
          <w:rFonts w:ascii="Source Sans Pro" w:eastAsia="Source Sans Pro" w:hAnsi="Source Sans Pro" w:cs="Source Sans Pro"/>
          <w:b/>
          <w:highlight w:val="white"/>
        </w:rPr>
        <w:t>Ministero delle Imprese e del Made in Italy (MIMIT)</w:t>
      </w:r>
      <w:r>
        <w:rPr>
          <w:rFonts w:ascii="Source Sans Pro" w:eastAsia="Source Sans Pro" w:hAnsi="Source Sans Pro" w:cs="Source Sans Pro"/>
          <w:highlight w:val="white"/>
        </w:rPr>
        <w:t xml:space="preserve">, rappresentano un modello originale di innovazione collaborativa e territoriale. Il </w:t>
      </w:r>
      <w:r>
        <w:rPr>
          <w:rFonts w:ascii="Source Sans Pro" w:eastAsia="Source Sans Pro" w:hAnsi="Source Sans Pro" w:cs="Source Sans Pro"/>
          <w:b/>
          <w:highlight w:val="white"/>
        </w:rPr>
        <w:t>finanziamento complessivo del progetto è di oltre 143 milioni di euro</w:t>
      </w:r>
      <w:r>
        <w:rPr>
          <w:rFonts w:ascii="Source Sans Pro" w:eastAsia="Source Sans Pro" w:hAnsi="Source Sans Pro" w:cs="Source Sans Pro"/>
          <w:highlight w:val="white"/>
        </w:rPr>
        <w:t xml:space="preserve"> (di cui circa </w:t>
      </w:r>
      <w:r>
        <w:rPr>
          <w:rFonts w:ascii="Source Sans Pro" w:eastAsia="Source Sans Pro" w:hAnsi="Source Sans Pro" w:cs="Source Sans Pro"/>
          <w:b/>
          <w:highlight w:val="white"/>
        </w:rPr>
        <w:t>120 milioni di euro messi a disposizione dal MIMIT, a valere su risorse FSC</w:t>
      </w:r>
      <w:r>
        <w:rPr>
          <w:rFonts w:ascii="Source Sans Pro" w:eastAsia="Source Sans Pro" w:hAnsi="Source Sans Pro" w:cs="Source Sans Pro"/>
          <w:highlight w:val="white"/>
        </w:rPr>
        <w:t xml:space="preserve">) e rientra nell’ambito del </w:t>
      </w:r>
      <w:r>
        <w:rPr>
          <w:rFonts w:ascii="Source Sans Pro" w:eastAsia="Source Sans Pro" w:hAnsi="Source Sans Pro" w:cs="Source Sans Pro"/>
          <w:i/>
          <w:highlight w:val="white"/>
        </w:rPr>
        <w:t>Programma di supporto alle tecnologie emergenti 5G</w:t>
      </w:r>
      <w:r>
        <w:rPr>
          <w:rFonts w:ascii="Source Sans Pro" w:eastAsia="Source Sans Pro" w:hAnsi="Source Sans Pro" w:cs="Source Sans Pro"/>
          <w:highlight w:val="white"/>
        </w:rPr>
        <w:t xml:space="preserve">. Mediante questa iniziativa le CTE hanno dato vita a </w:t>
      </w:r>
      <w:r>
        <w:rPr>
          <w:rFonts w:ascii="Source Sans Pro" w:eastAsia="Source Sans Pro" w:hAnsi="Source Sans Pro" w:cs="Source Sans Pro"/>
          <w:b/>
          <w:highlight w:val="white"/>
        </w:rPr>
        <w:t>hub multidisciplinari</w:t>
      </w:r>
      <w:r>
        <w:rPr>
          <w:rFonts w:ascii="Source Sans Pro" w:eastAsia="Source Sans Pro" w:hAnsi="Source Sans Pro" w:cs="Source Sans Pro"/>
          <w:highlight w:val="white"/>
        </w:rPr>
        <w:t xml:space="preserve"> in cui Comuni, università, centri di ricerca, startup e PMI collaborano su fronti come </w:t>
      </w:r>
      <w:r>
        <w:rPr>
          <w:rFonts w:ascii="Source Sans Pro" w:eastAsia="Source Sans Pro" w:hAnsi="Source Sans Pro" w:cs="Source Sans Pro"/>
          <w:i/>
          <w:highlight w:val="white"/>
        </w:rPr>
        <w:t>Smart City, Industria 4.0, Industria culturale e creativa e Mobilità sostenibile.</w:t>
      </w:r>
      <w:r>
        <w:rPr>
          <w:rFonts w:ascii="Source Sans Pro" w:eastAsia="Source Sans Pro" w:hAnsi="Source Sans Pro" w:cs="Source Sans Pro"/>
          <w:highlight w:val="white"/>
        </w:rPr>
        <w:t xml:space="preserve"> </w:t>
      </w:r>
    </w:p>
    <w:p w14:paraId="25758B29" w14:textId="77777777" w:rsidR="008377EF" w:rsidRDefault="00000000">
      <w:pPr>
        <w:spacing w:after="120" w:line="240" w:lineRule="auto"/>
        <w:jc w:val="both"/>
        <w:rPr>
          <w:rFonts w:ascii="Source Sans Pro" w:eastAsia="Source Sans Pro" w:hAnsi="Source Sans Pro" w:cs="Source Sans Pro"/>
        </w:rPr>
      </w:pPr>
      <w:r>
        <w:rPr>
          <w:rFonts w:ascii="Source Sans Pro" w:eastAsia="Source Sans Pro" w:hAnsi="Source Sans Pro" w:cs="Source Sans Pro"/>
        </w:rPr>
        <w:t xml:space="preserve">Ad oggi, </w:t>
      </w:r>
      <w:r>
        <w:rPr>
          <w:rFonts w:ascii="Source Sans Pro" w:eastAsia="Source Sans Pro" w:hAnsi="Source Sans Pro" w:cs="Source Sans Pro"/>
          <w:b/>
          <w:highlight w:val="white"/>
        </w:rPr>
        <w:t>le 13 CTE hanno</w:t>
      </w:r>
      <w:r>
        <w:rPr>
          <w:rFonts w:ascii="Source Sans Pro" w:eastAsia="Source Sans Pro" w:hAnsi="Source Sans Pro" w:cs="Source Sans Pro"/>
          <w:highlight w:val="white"/>
        </w:rPr>
        <w:t xml:space="preserve"> </w:t>
      </w:r>
      <w:r>
        <w:rPr>
          <w:rFonts w:ascii="Source Sans Pro" w:eastAsia="Source Sans Pro" w:hAnsi="Source Sans Pro" w:cs="Source Sans Pro"/>
          <w:b/>
          <w:highlight w:val="white"/>
        </w:rPr>
        <w:t>supportato oltre 900 PMI e startup innovative</w:t>
      </w:r>
      <w:r>
        <w:rPr>
          <w:rFonts w:ascii="Source Sans Pro" w:eastAsia="Source Sans Pro" w:hAnsi="Source Sans Pro" w:cs="Source Sans Pro"/>
          <w:highlight w:val="white"/>
        </w:rPr>
        <w:t xml:space="preserve">, attivato più di </w:t>
      </w:r>
      <w:r>
        <w:rPr>
          <w:rFonts w:ascii="Source Sans Pro" w:eastAsia="Source Sans Pro" w:hAnsi="Source Sans Pro" w:cs="Source Sans Pro"/>
          <w:b/>
          <w:highlight w:val="white"/>
        </w:rPr>
        <w:t>650 eventi di diffusione sul territorio e all’estero delle iniziative realizzate con le tecnologie emergenti</w:t>
      </w:r>
      <w:r>
        <w:rPr>
          <w:rFonts w:ascii="Source Sans Pro" w:eastAsia="Source Sans Pro" w:hAnsi="Source Sans Pro" w:cs="Source Sans Pro"/>
          <w:highlight w:val="white"/>
        </w:rPr>
        <w:t xml:space="preserve">, </w:t>
      </w:r>
      <w:r>
        <w:rPr>
          <w:rFonts w:ascii="Source Sans Pro" w:eastAsia="Source Sans Pro" w:hAnsi="Source Sans Pro" w:cs="Source Sans Pro"/>
          <w:b/>
          <w:highlight w:val="white"/>
        </w:rPr>
        <w:t>143 sperimentazioni tecnologiche</w:t>
      </w:r>
      <w:r>
        <w:rPr>
          <w:rFonts w:ascii="Source Sans Pro" w:eastAsia="Source Sans Pro" w:hAnsi="Source Sans Pro" w:cs="Source Sans Pro"/>
          <w:highlight w:val="white"/>
        </w:rPr>
        <w:t xml:space="preserve"> e </w:t>
      </w:r>
      <w:r>
        <w:rPr>
          <w:rFonts w:ascii="Source Sans Pro" w:eastAsia="Source Sans Pro" w:hAnsi="Source Sans Pro" w:cs="Source Sans Pro"/>
          <w:b/>
          <w:highlight w:val="white"/>
        </w:rPr>
        <w:t>180 iniziative formative</w:t>
      </w:r>
      <w:r>
        <w:rPr>
          <w:rFonts w:ascii="Source Sans Pro" w:eastAsia="Source Sans Pro" w:hAnsi="Source Sans Pro" w:cs="Source Sans Pro"/>
          <w:highlight w:val="white"/>
        </w:rPr>
        <w:t xml:space="preserve">, configurandosi come veri </w:t>
      </w:r>
      <w:r>
        <w:rPr>
          <w:rFonts w:ascii="Source Sans Pro" w:eastAsia="Source Sans Pro" w:hAnsi="Source Sans Pro" w:cs="Source Sans Pro"/>
          <w:b/>
          <w:highlight w:val="white"/>
        </w:rPr>
        <w:t>motori di sviluppo locale</w:t>
      </w:r>
      <w:r>
        <w:rPr>
          <w:rFonts w:ascii="Source Sans Pro" w:eastAsia="Source Sans Pro" w:hAnsi="Source Sans Pro" w:cs="Source Sans Pro"/>
          <w:highlight w:val="white"/>
        </w:rPr>
        <w:t xml:space="preserve">. Ma il loro impatto va oltre i numeri: hanno contribuito a creare 13 </w:t>
      </w:r>
      <w:r>
        <w:rPr>
          <w:rFonts w:ascii="Source Sans Pro" w:eastAsia="Source Sans Pro" w:hAnsi="Source Sans Pro" w:cs="Source Sans Pro"/>
          <w:b/>
          <w:highlight w:val="white"/>
        </w:rPr>
        <w:t xml:space="preserve">ecosistemi di innovazione radicati nel territorio </w:t>
      </w:r>
      <w:r>
        <w:rPr>
          <w:rFonts w:ascii="Source Sans Pro" w:eastAsia="Source Sans Pro" w:hAnsi="Source Sans Pro" w:cs="Source Sans Pro"/>
          <w:i/>
          <w:highlight w:val="white"/>
        </w:rPr>
        <w:t xml:space="preserve">(Bari, Bologna, Cagliari, Campobasso, Genova, L’Aquila, Matera, Napoli, Pesaro, Prato, Roma, Taranto e Torino), </w:t>
      </w:r>
      <w:r>
        <w:rPr>
          <w:rFonts w:ascii="Source Sans Pro" w:eastAsia="Source Sans Pro" w:hAnsi="Source Sans Pro" w:cs="Source Sans Pro"/>
          <w:highlight w:val="white"/>
        </w:rPr>
        <w:t xml:space="preserve">capaci di valorizzare competenze latenti e generare coesione sociale e imprenditoriale. </w:t>
      </w:r>
    </w:p>
    <w:p w14:paraId="29685FEA" w14:textId="77777777" w:rsidR="008377EF" w:rsidRDefault="008377EF">
      <w:pPr>
        <w:spacing w:after="120" w:line="240" w:lineRule="auto"/>
        <w:jc w:val="both"/>
        <w:rPr>
          <w:rFonts w:ascii="Source Sans Pro" w:eastAsia="Source Sans Pro" w:hAnsi="Source Sans Pro" w:cs="Source Sans Pro"/>
          <w:b/>
        </w:rPr>
      </w:pPr>
    </w:p>
    <w:p w14:paraId="24345A71" w14:textId="77777777" w:rsidR="008377EF" w:rsidRDefault="00000000">
      <w:pPr>
        <w:spacing w:after="120" w:line="240" w:lineRule="auto"/>
        <w:jc w:val="both"/>
        <w:rPr>
          <w:rFonts w:ascii="Source Sans Pro" w:eastAsia="Source Sans Pro" w:hAnsi="Source Sans Pro" w:cs="Source Sans Pro"/>
        </w:rPr>
      </w:pPr>
      <w:r>
        <w:rPr>
          <w:rFonts w:ascii="Source Sans Pro" w:eastAsia="Source Sans Pro" w:hAnsi="Source Sans Pro" w:cs="Source Sans Pro"/>
          <w:b/>
        </w:rPr>
        <w:t>ART-ER - Attrattività Ricerca Territorio</w:t>
      </w:r>
      <w:r>
        <w:rPr>
          <w:rFonts w:ascii="Source Sans Pro" w:eastAsia="Source Sans Pro" w:hAnsi="Source Sans Pro" w:cs="Source Sans Pro"/>
        </w:rPr>
        <w:t xml:space="preserve"> è la Società Consortile dell’Emilia-Romagna nata per favorire la crescita sostenibile della regione attraverso lo sviluppo dell’innovazione e della conoscenza, l’attrattività e l’internazionalizzazione del territorio. Le sue attività sono indirizzate al rafforzamento dell’ecosistema regionale dell’innovazione e delle relazioni tra i soggetti che lo compongono, allo promozione internazionale del sistema delle imprese e della ricerca, per favorire una crescita sostenibile dei territori e aumentare la capacità di ricerca e innovazione e la loro produttività e a inserirsi con successo nelle catene globali del valore e nei nuovi mercati. www.art-er.it</w:t>
      </w:r>
    </w:p>
    <w:p w14:paraId="077E7101" w14:textId="77777777" w:rsidR="008377EF" w:rsidRDefault="008377EF">
      <w:pPr>
        <w:spacing w:after="120" w:line="240" w:lineRule="auto"/>
        <w:jc w:val="both"/>
        <w:rPr>
          <w:rFonts w:ascii="Source Sans Pro" w:eastAsia="Source Sans Pro" w:hAnsi="Source Sans Pro" w:cs="Source Sans Pro"/>
        </w:rPr>
      </w:pPr>
    </w:p>
    <w:p w14:paraId="18C1DF93" w14:textId="77777777" w:rsidR="008377EF" w:rsidRDefault="00000000">
      <w:pPr>
        <w:spacing w:after="120"/>
        <w:jc w:val="both"/>
        <w:rPr>
          <w:rFonts w:ascii="Source Sans Pro" w:eastAsia="Source Sans Pro" w:hAnsi="Source Sans Pro" w:cs="Source Sans Pro"/>
        </w:rPr>
      </w:pPr>
      <w:r>
        <w:rPr>
          <w:rFonts w:ascii="Source Sans Pro" w:eastAsia="Source Sans Pro" w:hAnsi="Source Sans Pro" w:cs="Source Sans Pro"/>
          <w:b/>
        </w:rPr>
        <w:t>CITTA’ METROPOLITANA E COMUNE DI BOLOGNA</w:t>
      </w:r>
      <w:r>
        <w:rPr>
          <w:rFonts w:ascii="Source Sans Pro" w:eastAsia="Source Sans Pro" w:hAnsi="Source Sans Pro" w:cs="Source Sans Pro"/>
        </w:rPr>
        <w:t xml:space="preserve"> - L’area metropolitana svolge un ruolo chiave come </w:t>
      </w:r>
      <w:r>
        <w:rPr>
          <w:rFonts w:ascii="Source Sans Pro" w:eastAsia="Source Sans Pro" w:hAnsi="Source Sans Pro" w:cs="Source Sans Pro"/>
          <w:b/>
        </w:rPr>
        <w:t>hub e nodo strategico dell'economia regionale</w:t>
      </w:r>
      <w:r>
        <w:rPr>
          <w:rFonts w:ascii="Source Sans Pro" w:eastAsia="Source Sans Pro" w:hAnsi="Source Sans Pro" w:cs="Source Sans Pro"/>
        </w:rPr>
        <w:t xml:space="preserve">. Sul territorio bolognese sono concentrate una rete fisica e immateriale di infrastrutture di ricerca e innovazione la cui rilevanza è riconosciuta a livello regionale e nazionale, e Bologna è </w:t>
      </w:r>
      <w:r>
        <w:rPr>
          <w:rFonts w:ascii="Source Sans Pro" w:eastAsia="Source Sans Pro" w:hAnsi="Source Sans Pro" w:cs="Source Sans Pro"/>
          <w:b/>
        </w:rPr>
        <w:t>volano per l’intero sistema regionale</w:t>
      </w:r>
      <w:r>
        <w:rPr>
          <w:rFonts w:ascii="Source Sans Pro" w:eastAsia="Source Sans Pro" w:hAnsi="Source Sans Pro" w:cs="Source Sans Pro"/>
        </w:rPr>
        <w:t>. Comune e Città metropolitana di Bologna, nell’ambito del progetto strategico di mandato</w:t>
      </w:r>
      <w:hyperlink r:id="rId10">
        <w:r>
          <w:rPr>
            <w:rFonts w:ascii="Source Sans Pro" w:eastAsia="Source Sans Pro" w:hAnsi="Source Sans Pro" w:cs="Source Sans Pro"/>
          </w:rPr>
          <w:t xml:space="preserve"> </w:t>
        </w:r>
      </w:hyperlink>
      <w:hyperlink r:id="rId11">
        <w:r>
          <w:rPr>
            <w:rFonts w:ascii="Source Sans Pro" w:eastAsia="Source Sans Pro" w:hAnsi="Source Sans Pro" w:cs="Source Sans Pro"/>
            <w:u w:val="single"/>
          </w:rPr>
          <w:t>Città della Conoscenza</w:t>
        </w:r>
      </w:hyperlink>
      <w:r>
        <w:rPr>
          <w:rFonts w:ascii="Source Sans Pro" w:eastAsia="Source Sans Pro" w:hAnsi="Source Sans Pro" w:cs="Source Sans Pro"/>
        </w:rPr>
        <w:t xml:space="preserve">, promuovono un </w:t>
      </w:r>
      <w:r>
        <w:rPr>
          <w:rFonts w:ascii="Source Sans Pro" w:eastAsia="Source Sans Pro" w:hAnsi="Source Sans Pro" w:cs="Source Sans Pro"/>
          <w:b/>
        </w:rPr>
        <w:t>insieme di politiche per favorire lo sviluppo economico e l’attrattività, rafforzare l’innovazione, stimolare la sinergia e la collaborazione tra tutti gli attori dell’ecosistema.</w:t>
      </w:r>
      <w:r>
        <w:rPr>
          <w:rFonts w:ascii="Source Sans Pro" w:eastAsia="Source Sans Pro" w:hAnsi="Source Sans Pro" w:cs="Source Sans Pro"/>
        </w:rPr>
        <w:t xml:space="preserve"> Questo sistema integrato include diverse progettualità e servizi, tra cui:</w:t>
      </w:r>
      <w:hyperlink r:id="rId12">
        <w:r>
          <w:rPr>
            <w:rFonts w:ascii="Source Sans Pro" w:eastAsia="Source Sans Pro" w:hAnsi="Source Sans Pro" w:cs="Source Sans Pro"/>
          </w:rPr>
          <w:t xml:space="preserve"> </w:t>
        </w:r>
      </w:hyperlink>
      <w:hyperlink r:id="rId13">
        <w:r>
          <w:rPr>
            <w:rFonts w:ascii="Source Sans Pro" w:eastAsia="Source Sans Pro" w:hAnsi="Source Sans Pro" w:cs="Source Sans Pro"/>
            <w:u w:val="single"/>
          </w:rPr>
          <w:t>BIS - Bologna Innovation Square</w:t>
        </w:r>
      </w:hyperlink>
      <w:r>
        <w:rPr>
          <w:rFonts w:ascii="Source Sans Pro" w:eastAsia="Source Sans Pro" w:hAnsi="Source Sans Pro" w:cs="Source Sans Pro"/>
        </w:rPr>
        <w:t>, La Casa delle Tecnologie Emergenti del Comune di Bologna (</w:t>
      </w:r>
      <w:hyperlink r:id="rId14">
        <w:r>
          <w:rPr>
            <w:rFonts w:ascii="Source Sans Pro" w:eastAsia="Source Sans Pro" w:hAnsi="Source Sans Pro" w:cs="Source Sans Pro"/>
            <w:u w:val="single"/>
          </w:rPr>
          <w:t>CTE COBO</w:t>
        </w:r>
      </w:hyperlink>
      <w:r>
        <w:rPr>
          <w:rFonts w:ascii="Source Sans Pro" w:eastAsia="Source Sans Pro" w:hAnsi="Source Sans Pro" w:cs="Source Sans Pro"/>
        </w:rPr>
        <w:t xml:space="preserve">), i servizi per </w:t>
      </w:r>
      <w:hyperlink r:id="rId15">
        <w:r>
          <w:rPr>
            <w:rFonts w:ascii="Source Sans Pro" w:eastAsia="Source Sans Pro" w:hAnsi="Source Sans Pro" w:cs="Source Sans Pro"/>
            <w:u w:val="single"/>
          </w:rPr>
          <w:t>l’attrattività del territorio</w:t>
        </w:r>
      </w:hyperlink>
      <w:r>
        <w:rPr>
          <w:rFonts w:ascii="Source Sans Pro" w:eastAsia="Source Sans Pro" w:hAnsi="Source Sans Pro" w:cs="Source Sans Pro"/>
        </w:rPr>
        <w:t>.</w:t>
      </w:r>
    </w:p>
    <w:p w14:paraId="60AAC452" w14:textId="77777777" w:rsidR="008377EF" w:rsidRDefault="008377EF">
      <w:pPr>
        <w:spacing w:after="0" w:line="240" w:lineRule="auto"/>
        <w:ind w:right="-330"/>
        <w:jc w:val="both"/>
        <w:rPr>
          <w:rFonts w:ascii="Source Sans Pro" w:eastAsia="Source Sans Pro" w:hAnsi="Source Sans Pro" w:cs="Source Sans Pro"/>
          <w:b/>
        </w:rPr>
      </w:pPr>
    </w:p>
    <w:p w14:paraId="123A674B" w14:textId="77777777" w:rsidR="008377EF" w:rsidRDefault="00000000">
      <w:pPr>
        <w:spacing w:after="120" w:line="240" w:lineRule="auto"/>
        <w:jc w:val="both"/>
        <w:rPr>
          <w:rFonts w:ascii="Source Sans Pro" w:eastAsia="Source Sans Pro" w:hAnsi="Source Sans Pro" w:cs="Source Sans Pro"/>
          <w:highlight w:val="white"/>
        </w:rPr>
      </w:pPr>
      <w:r>
        <w:rPr>
          <w:rFonts w:ascii="Source Sans Pro" w:eastAsia="Source Sans Pro" w:hAnsi="Source Sans Pro" w:cs="Source Sans Pro"/>
          <w:b/>
          <w:highlight w:val="white"/>
        </w:rPr>
        <w:t xml:space="preserve">BI-REX - </w:t>
      </w:r>
      <w:r>
        <w:rPr>
          <w:rFonts w:ascii="Source Sans Pro" w:eastAsia="Source Sans Pro" w:hAnsi="Source Sans Pro" w:cs="Source Sans Pro"/>
          <w:highlight w:val="white"/>
        </w:rPr>
        <w:t xml:space="preserve">BI-REX è il Competence Center nazionale specializzato in Big Data e tecnologie abilitanti per l’Industria 4.0. Una Public-Private Partnership con 64 partner tra università, centri di ricerca e imprese d’eccellenza, che supporta le aziende nei percorsi di innovazione e trasformazione digitale. Offre formazione, consulenza, iniziative di </w:t>
      </w:r>
      <w:r>
        <w:rPr>
          <w:rFonts w:ascii="Source Sans Pro" w:eastAsia="Source Sans Pro" w:hAnsi="Source Sans Pro" w:cs="Source Sans Pro"/>
          <w:i/>
          <w:highlight w:val="white"/>
        </w:rPr>
        <w:t>test-before-invest</w:t>
      </w:r>
      <w:r>
        <w:rPr>
          <w:rFonts w:ascii="Source Sans Pro" w:eastAsia="Source Sans Pro" w:hAnsi="Source Sans Pro" w:cs="Source Sans Pro"/>
          <w:highlight w:val="white"/>
        </w:rPr>
        <w:t xml:space="preserve"> e co-sviluppo di progetti di trasferimento tecnologico. Cuore dell’offerta è la Linea Pilota: una fabbrica digitale interconnessa, a disposizione delle imprese, dove tecnologie 4.0 e processi tradizionali si integrano per sperimentazione, dimostrazione e prototipazione in condizioni reali.</w:t>
      </w:r>
    </w:p>
    <w:p w14:paraId="65995221" w14:textId="77777777" w:rsidR="008377EF" w:rsidRDefault="00000000">
      <w:pPr>
        <w:spacing w:after="120" w:line="240" w:lineRule="auto"/>
        <w:jc w:val="both"/>
        <w:rPr>
          <w:rFonts w:ascii="Source Sans Pro" w:eastAsia="Source Sans Pro" w:hAnsi="Source Sans Pro" w:cs="Source Sans Pro"/>
        </w:rPr>
      </w:pPr>
      <w:r>
        <w:rPr>
          <w:rFonts w:ascii="Source Sans Pro" w:eastAsia="Source Sans Pro" w:hAnsi="Source Sans Pro" w:cs="Source Sans Pro"/>
          <w:b/>
        </w:rPr>
        <w:br/>
        <w:t xml:space="preserve">FNDX - </w:t>
      </w:r>
      <w:r>
        <w:rPr>
          <w:rFonts w:ascii="Source Sans Pro" w:eastAsia="Source Sans Pro" w:hAnsi="Source Sans Pro" w:cs="Source Sans Pro"/>
        </w:rPr>
        <w:t xml:space="preserve">È una società specializzata in consulenza tecnica a fondi di Venture Capital e Private equity per la selezione dei migliori progetti innovativi e delle tecnologie emergenti su cui investire. Oltre ai servizi di Investment Advisory, FNDX offre servizi di M&amp;A advisory ad imprenditori e founder talentuosi su prodotti digitali e aziende in ogni stadio della loro crescita, dalla raccolta di fondi nelle prime fasi, ai round successivi, fino al supporto in fase di Exit. - </w:t>
      </w:r>
      <w:r>
        <w:rPr>
          <w:rFonts w:ascii="Source Sans Pro" w:eastAsia="Source Sans Pro" w:hAnsi="Source Sans Pro" w:cs="Source Sans Pro"/>
          <w:b/>
        </w:rPr>
        <w:t>https://fndx.vc/</w:t>
      </w:r>
    </w:p>
    <w:p w14:paraId="45F0AA6F" w14:textId="77777777" w:rsidR="008377EF" w:rsidRDefault="008377EF">
      <w:pPr>
        <w:spacing w:after="120" w:line="240" w:lineRule="auto"/>
        <w:jc w:val="both"/>
        <w:rPr>
          <w:rFonts w:ascii="Source Sans Pro" w:eastAsia="Source Sans Pro" w:hAnsi="Source Sans Pro" w:cs="Source Sans Pro"/>
          <w:b/>
        </w:rPr>
      </w:pPr>
    </w:p>
    <w:p w14:paraId="3CC73420" w14:textId="77777777" w:rsidR="008377EF" w:rsidRDefault="00000000">
      <w:pPr>
        <w:spacing w:after="120" w:line="240" w:lineRule="auto"/>
        <w:jc w:val="both"/>
        <w:rPr>
          <w:rFonts w:ascii="Source Sans Pro" w:eastAsia="Source Sans Pro" w:hAnsi="Source Sans Pro" w:cs="Source Sans Pro"/>
          <w:b/>
        </w:rPr>
      </w:pPr>
      <w:r>
        <w:rPr>
          <w:rFonts w:ascii="Source Sans Pro" w:eastAsia="Source Sans Pro" w:hAnsi="Source Sans Pro" w:cs="Source Sans Pro"/>
          <w:b/>
        </w:rPr>
        <w:t>GELLIFY</w:t>
      </w:r>
      <w:r>
        <w:rPr>
          <w:rFonts w:ascii="Source Sans Pro" w:eastAsia="Source Sans Pro" w:hAnsi="Source Sans Pro" w:cs="Source Sans Pro"/>
        </w:rPr>
        <w:t xml:space="preserve"> - GELLIFY è una</w:t>
      </w:r>
      <w:r>
        <w:rPr>
          <w:rFonts w:ascii="Source Sans Pro" w:eastAsia="Source Sans Pro" w:hAnsi="Source Sans Pro" w:cs="Source Sans Pro"/>
          <w:i/>
        </w:rPr>
        <w:t xml:space="preserve"> innovation factory</w:t>
      </w:r>
      <w:r>
        <w:rPr>
          <w:rFonts w:ascii="Source Sans Pro" w:eastAsia="Source Sans Pro" w:hAnsi="Source Sans Pro" w:cs="Source Sans Pro"/>
        </w:rPr>
        <w:t xml:space="preserve"> globale che integra strategia, design e tecnologia, supportando la crescita delle organizzazioni dalla visione all'esecuzione attraverso la sua "p</w:t>
      </w:r>
      <w:r>
        <w:rPr>
          <w:rFonts w:ascii="Source Sans Pro" w:eastAsia="Source Sans Pro" w:hAnsi="Source Sans Pro" w:cs="Source Sans Pro"/>
          <w:i/>
        </w:rPr>
        <w:t>urple way</w:t>
      </w:r>
      <w:r>
        <w:rPr>
          <w:rFonts w:ascii="Source Sans Pro" w:eastAsia="Source Sans Pro" w:hAnsi="Source Sans Pro" w:cs="Source Sans Pro"/>
        </w:rPr>
        <w:t xml:space="preserve">”. GELLIFY aiuta le organizzazioni a implementare nuovi modelli di business, roadmap tecnologiche, strategie digitali e prodotti, anche grazie al suo portafoglio di asset software B2B. </w:t>
      </w:r>
      <w:r>
        <w:rPr>
          <w:rFonts w:ascii="Source Sans Pro" w:eastAsia="Source Sans Pro" w:hAnsi="Source Sans Pro" w:cs="Source Sans Pro"/>
          <w:b/>
        </w:rPr>
        <w:t>www.gellify.com</w:t>
      </w:r>
    </w:p>
    <w:p w14:paraId="41277442" w14:textId="77777777" w:rsidR="008377EF" w:rsidRDefault="00000000">
      <w:pPr>
        <w:spacing w:line="240" w:lineRule="auto"/>
        <w:ind w:right="-7"/>
        <w:jc w:val="both"/>
        <w:rPr>
          <w:rFonts w:ascii="Source Sans Pro" w:eastAsia="Source Sans Pro" w:hAnsi="Source Sans Pro" w:cs="Source Sans Pro"/>
        </w:rPr>
      </w:pPr>
      <w:r>
        <w:rPr>
          <w:rFonts w:ascii="Source Sans Pro" w:eastAsia="Source Sans Pro" w:hAnsi="Source Sans Pro" w:cs="Source Sans Pro"/>
          <w:b/>
        </w:rPr>
        <w:br/>
        <w:t xml:space="preserve">G-FACTOR - </w:t>
      </w:r>
      <w:r>
        <w:rPr>
          <w:rFonts w:ascii="Source Sans Pro" w:eastAsia="Source Sans Pro" w:hAnsi="Source Sans Pro" w:cs="Source Sans Pro"/>
        </w:rPr>
        <w:t xml:space="preserve">G-Factor, incubatore-acceleratore di giovani imprese creato nel 2018 da Fondazione Golinelli,  è un ecosistema che trasforma l’alto potenziale di innovazione e tecnologia di giovani e scienziati, in realtà imprenditoriali in grado di affermarsi sul mercato con successo, creando modelli replicabili e scalabili; una </w:t>
      </w:r>
      <w:r>
        <w:rPr>
          <w:rFonts w:ascii="Source Sans Pro" w:eastAsia="Source Sans Pro" w:hAnsi="Source Sans Pro" w:cs="Source Sans Pro"/>
        </w:rPr>
        <w:lastRenderedPageBreak/>
        <w:t>risposta all’esigenza di favorire sempre più le possibilità di integrazione tra ricerca, industria e mercato, mettendo al centro i giovani, le loro idee d’impresa, la ricerca scientifica e la loro capacità di produrre innovazione e nuova tecnologia.</w:t>
      </w:r>
    </w:p>
    <w:p w14:paraId="21A3F081" w14:textId="77777777" w:rsidR="008377EF" w:rsidRDefault="00000000">
      <w:pPr>
        <w:spacing w:line="240" w:lineRule="auto"/>
        <w:ind w:right="-7"/>
        <w:jc w:val="both"/>
        <w:rPr>
          <w:rFonts w:ascii="Source Sans Pro" w:eastAsia="Source Sans Pro" w:hAnsi="Source Sans Pro" w:cs="Source Sans Pro"/>
        </w:rPr>
      </w:pPr>
      <w:r>
        <w:rPr>
          <w:rFonts w:ascii="Source Sans Pro" w:eastAsia="Source Sans Pro" w:hAnsi="Source Sans Pro" w:cs="Source Sans Pro"/>
        </w:rPr>
        <w:t>L’approccio sperimentale adottato in G-Factor per l’accelerazione al mercato delle aziende selezionate, si basa su investimenti in equity, realizzati con capitali e competenze, con un approccio paziente, ma secondo logiche di scienza e di mercato, nella convinzione che il mix di finanza e formazione sia determinante per il successo e la crescita delle realtà imprenditoriali più innovative. Alla leva finanziaria viene accompagnata la dimensione formativa e di accompagnamento nei primi anni di sviluppo. Tutti i percorsi di accrescimento delle competenze e delle esperienze sono altamente personalizzati sulle esigenze dei team. Tanto che in alcuni casi G-Factor opera anche come venture builder/startup studio. Il settore elettivo è il Life sciences, ma G-Factor opera in partnership con imprese anche negli ambiti di fintech, insurtech, agritech , foodtech social impact, Smart mobilities and travel.</w:t>
      </w:r>
    </w:p>
    <w:p w14:paraId="294E4740" w14:textId="77777777" w:rsidR="008377EF" w:rsidRDefault="00000000">
      <w:pPr>
        <w:spacing w:line="240" w:lineRule="auto"/>
        <w:ind w:right="-7"/>
        <w:jc w:val="both"/>
        <w:rPr>
          <w:rFonts w:ascii="Source Sans Pro" w:eastAsia="Source Sans Pro" w:hAnsi="Source Sans Pro" w:cs="Source Sans Pro"/>
        </w:rPr>
      </w:pPr>
      <w:r>
        <w:rPr>
          <w:rFonts w:ascii="Source Sans Pro" w:eastAsia="Source Sans Pro" w:hAnsi="Source Sans Pro" w:cs="Source Sans Pro"/>
          <w:b/>
        </w:rPr>
        <w:br/>
        <w:t>ALMACUBE -</w:t>
      </w:r>
      <w:r>
        <w:rPr>
          <w:rFonts w:ascii="Source Sans Pro" w:eastAsia="Source Sans Pro" w:hAnsi="Source Sans Pro" w:cs="Source Sans Pro"/>
        </w:rPr>
        <w:t xml:space="preserve"> Almacube è l’innovation hub e incubatore dell’Università di Bologna, certificato dal Ministero dello Sviluppo Economico.  Dal 1999, supporta l'innovazione e lo sviluppo economico del territorio, agendo come ponte tra ricerca accademica e industria. Inizialmente nato per valorizzare gli spin-off dell’Ateneo, Almacube ha ampliato il proprio impatto strutturandosi in due business unit: </w:t>
      </w:r>
    </w:p>
    <w:p w14:paraId="3B10398B" w14:textId="77777777" w:rsidR="008377EF" w:rsidRDefault="00000000">
      <w:pPr>
        <w:numPr>
          <w:ilvl w:val="0"/>
          <w:numId w:val="1"/>
        </w:numPr>
        <w:spacing w:after="0" w:line="240" w:lineRule="auto"/>
        <w:ind w:right="-7"/>
        <w:jc w:val="both"/>
        <w:rPr>
          <w:rFonts w:ascii="Source Sans Pro" w:eastAsia="Source Sans Pro" w:hAnsi="Source Sans Pro" w:cs="Source Sans Pro"/>
        </w:rPr>
      </w:pPr>
      <w:r>
        <w:rPr>
          <w:rFonts w:ascii="Source Sans Pro" w:eastAsia="Source Sans Pro" w:hAnsi="Source Sans Pro" w:cs="Source Sans Pro"/>
        </w:rPr>
        <w:t>Open Innovation Unit, dedicata a guidare aziende consolidate nei loro processi di innovazione,</w:t>
      </w:r>
    </w:p>
    <w:p w14:paraId="787C546C" w14:textId="77777777" w:rsidR="008377EF" w:rsidRDefault="00000000">
      <w:pPr>
        <w:numPr>
          <w:ilvl w:val="0"/>
          <w:numId w:val="1"/>
        </w:numPr>
        <w:spacing w:line="240" w:lineRule="auto"/>
        <w:ind w:right="-7"/>
        <w:jc w:val="both"/>
        <w:rPr>
          <w:rFonts w:ascii="Source Sans Pro" w:eastAsia="Source Sans Pro" w:hAnsi="Source Sans Pro" w:cs="Source Sans Pro"/>
        </w:rPr>
      </w:pPr>
      <w:r>
        <w:rPr>
          <w:rFonts w:ascii="Source Sans Pro" w:eastAsia="Source Sans Pro" w:hAnsi="Source Sans Pro" w:cs="Source Sans Pro"/>
        </w:rPr>
        <w:t xml:space="preserve">Startup &amp; Spin-off Unit, focalizzata sul supporto alla crescita di startup e spin-off attraverso strategie di business e go-to-market efficaci. </w:t>
      </w:r>
    </w:p>
    <w:p w14:paraId="54BFA5A6" w14:textId="77777777" w:rsidR="008377EF" w:rsidRDefault="00000000">
      <w:pPr>
        <w:spacing w:line="240" w:lineRule="auto"/>
        <w:ind w:right="-7"/>
        <w:jc w:val="both"/>
        <w:rPr>
          <w:rFonts w:ascii="Source Sans Pro" w:eastAsia="Source Sans Pro" w:hAnsi="Source Sans Pro" w:cs="Source Sans Pro"/>
        </w:rPr>
      </w:pPr>
      <w:r>
        <w:rPr>
          <w:rFonts w:ascii="Source Sans Pro" w:eastAsia="Source Sans Pro" w:hAnsi="Source Sans Pro" w:cs="Source Sans Pro"/>
        </w:rPr>
        <w:t xml:space="preserve">Grazie a un approccio strategico e collaborativo, Almacube si rivolge a un pubblico eterogeneo che include startup, PMI, corporate e innovatori. Coinvolge attivamente studenti, giovani professionisti, ricercatori e professori in programmi basati su metodologie avanzate come Design Thinking, Lean Startup e innovazione Human-Centered. </w:t>
      </w:r>
    </w:p>
    <w:p w14:paraId="5742B93B" w14:textId="77777777" w:rsidR="008377EF" w:rsidRDefault="00000000">
      <w:pPr>
        <w:spacing w:line="240" w:lineRule="auto"/>
        <w:ind w:right="-7"/>
        <w:jc w:val="both"/>
        <w:rPr>
          <w:rFonts w:ascii="Source Sans Pro" w:eastAsia="Source Sans Pro" w:hAnsi="Source Sans Pro" w:cs="Source Sans Pro"/>
        </w:rPr>
      </w:pPr>
      <w:r>
        <w:rPr>
          <w:rFonts w:ascii="Source Sans Pro" w:eastAsia="Source Sans Pro" w:hAnsi="Source Sans Pro" w:cs="Source Sans Pro"/>
        </w:rPr>
        <w:t xml:space="preserve">Con Almacube, il potenziale della ricerca accademica incontra le esigenze del mercato, generando soluzioni innovative e sostenibili per il futuro. </w:t>
      </w:r>
    </w:p>
    <w:p w14:paraId="35C8E3CD" w14:textId="77777777" w:rsidR="008377EF" w:rsidRDefault="00000000">
      <w:pPr>
        <w:spacing w:after="120" w:line="240" w:lineRule="auto"/>
        <w:jc w:val="both"/>
        <w:rPr>
          <w:rFonts w:ascii="Source Sans Pro" w:eastAsia="Source Sans Pro" w:hAnsi="Source Sans Pro" w:cs="Source Sans Pro"/>
        </w:rPr>
      </w:pPr>
      <w:r>
        <w:rPr>
          <w:rFonts w:ascii="Source Sans Pro" w:eastAsia="Source Sans Pro" w:hAnsi="Source Sans Pro" w:cs="Source Sans Pro"/>
          <w:b/>
        </w:rPr>
        <w:br/>
        <w:t xml:space="preserve">GIANNI &amp; ORIGONI - </w:t>
      </w:r>
      <w:r>
        <w:rPr>
          <w:rFonts w:ascii="Source Sans Pro" w:eastAsia="Source Sans Pro" w:hAnsi="Source Sans Pro" w:cs="Source Sans Pro"/>
        </w:rPr>
        <w:t>Gianni &amp; Origoni è uno studio legale internazionale, indipendente, leader nella consulenza e assistenza in tutti i settori del diritto d’impresa.</w:t>
      </w:r>
    </w:p>
    <w:p w14:paraId="76D8015E" w14:textId="77777777" w:rsidR="008377EF" w:rsidRDefault="00000000">
      <w:pPr>
        <w:spacing w:after="120" w:line="240" w:lineRule="auto"/>
        <w:jc w:val="both"/>
        <w:rPr>
          <w:rFonts w:ascii="Source Sans Pro" w:eastAsia="Source Sans Pro" w:hAnsi="Source Sans Pro" w:cs="Source Sans Pro"/>
        </w:rPr>
      </w:pPr>
      <w:r>
        <w:rPr>
          <w:rFonts w:ascii="Source Sans Pro" w:eastAsia="Source Sans Pro" w:hAnsi="Source Sans Pro" w:cs="Source Sans Pro"/>
        </w:rPr>
        <w:t xml:space="preserve">Fondato nel 1988, il nostro studio conta oggi oltre 490 avvocati altamente specializzati con sede in Italia (Roma, Milano, Bologna, Padova e Torino) e all'estero (Abu Dhabi, Bruxelles, Hong Kong, Londra, New York e Shanghai). A riconoscimento dell'importanza dell'attività svolta a livello nazionale e internazionale e dei </w:t>
      </w:r>
      <w:r>
        <w:rPr>
          <w:rFonts w:ascii="Source Sans Pro" w:eastAsia="Source Sans Pro" w:hAnsi="Source Sans Pro" w:cs="Source Sans Pro"/>
        </w:rPr>
        <w:lastRenderedPageBreak/>
        <w:t>successi conseguiti in Italia e altre giurisdizioni, il nostro studio ha ricevuto importanti premi e scalato le principali classifiche di settore.</w:t>
      </w:r>
    </w:p>
    <w:p w14:paraId="57B96171" w14:textId="77777777" w:rsidR="008377EF" w:rsidRDefault="00000000">
      <w:pPr>
        <w:spacing w:after="120" w:line="240" w:lineRule="auto"/>
        <w:jc w:val="both"/>
        <w:rPr>
          <w:rFonts w:ascii="Source Sans Pro" w:eastAsia="Source Sans Pro" w:hAnsi="Source Sans Pro" w:cs="Source Sans Pro"/>
          <w:b/>
          <w:highlight w:val="yellow"/>
        </w:rPr>
      </w:pPr>
      <w:r>
        <w:rPr>
          <w:rFonts w:ascii="Source Sans Pro" w:eastAsia="Source Sans Pro" w:hAnsi="Source Sans Pro" w:cs="Source Sans Pro"/>
        </w:rPr>
        <w:t>Siamo uno studio full-service. Uno dei settori di punta in cui operiamo è quello delle fusioni e acquisizioni (M&amp;A, Mergers &amp; Acquisitions): siamo coinvolti nelle più importanti operazioni italiane di questo tipo e siamo ai primi posti in Italia secondo le principali classifiche del settore. Per rispondere alla crescente esigenza dei clienti di una consulenza legale nei settori dell'innovazione e del trasferimento tecnologico, nel 2016 lo studio ha ampliato i propri servizi lanciando GOP4Venture, un team specializzato dedicato al venture capital e agli investimenti in start-up e aziende innovative, con il compito di rispondere alle esigenze di fondi di venture capital, società di investimento e investitori, fondatori, piccole e medie imprese innovative, nonché acceleratori, incubatori e spin-off di centri di ricerca.</w:t>
      </w:r>
    </w:p>
    <w:p w14:paraId="7DDC1446" w14:textId="77777777" w:rsidR="008377EF" w:rsidRDefault="008377EF">
      <w:pPr>
        <w:spacing w:after="120" w:line="240" w:lineRule="auto"/>
        <w:jc w:val="both"/>
        <w:rPr>
          <w:rFonts w:ascii="Source Sans Pro" w:eastAsia="Source Sans Pro" w:hAnsi="Source Sans Pro" w:cs="Source Sans Pro"/>
          <w:b/>
          <w:highlight w:val="white"/>
        </w:rPr>
      </w:pPr>
    </w:p>
    <w:p w14:paraId="7F02B4AA" w14:textId="77777777" w:rsidR="008377EF" w:rsidRDefault="00000000">
      <w:pPr>
        <w:spacing w:after="120" w:line="240" w:lineRule="auto"/>
        <w:jc w:val="both"/>
        <w:rPr>
          <w:rFonts w:ascii="Source Sans Pro" w:eastAsia="Source Sans Pro" w:hAnsi="Source Sans Pro" w:cs="Source Sans Pro"/>
          <w:highlight w:val="white"/>
        </w:rPr>
      </w:pPr>
      <w:r>
        <w:rPr>
          <w:rFonts w:ascii="Source Sans Pro" w:eastAsia="Source Sans Pro" w:hAnsi="Source Sans Pro" w:cs="Source Sans Pro"/>
          <w:b/>
          <w:highlight w:val="white"/>
        </w:rPr>
        <w:t>BOLOGNA BUSINESS SCHOOL</w:t>
      </w:r>
      <w:r>
        <w:rPr>
          <w:rFonts w:ascii="Source Sans Pro" w:eastAsia="Source Sans Pro" w:hAnsi="Source Sans Pro" w:cs="Source Sans Pro"/>
          <w:highlight w:val="white"/>
        </w:rPr>
        <w:t xml:space="preserve"> - Bologna Business School è una fondazione privata creata dall’Università di Bologna per offrire formazione manageriale post-laurea e post-experience.  </w:t>
      </w:r>
    </w:p>
    <w:p w14:paraId="25D9EC0C" w14:textId="77777777" w:rsidR="008377EF" w:rsidRDefault="00000000">
      <w:pPr>
        <w:spacing w:after="120" w:line="240" w:lineRule="auto"/>
        <w:jc w:val="both"/>
        <w:rPr>
          <w:rFonts w:ascii="Source Sans Pro" w:eastAsia="Source Sans Pro" w:hAnsi="Source Sans Pro" w:cs="Source Sans Pro"/>
          <w:highlight w:val="white"/>
        </w:rPr>
      </w:pPr>
      <w:r>
        <w:rPr>
          <w:rFonts w:ascii="Source Sans Pro" w:eastAsia="Source Sans Pro" w:hAnsi="Source Sans Pro" w:cs="Source Sans Pro"/>
          <w:highlight w:val="white"/>
        </w:rPr>
        <w:t xml:space="preserve">Oltre all’Ateneo di Bologna, sono soci di BBS: Automobili Lamborghini, BBS Society of Scholars,  Confindustria Emilia Centro, Dallara Automobili, Ferrari, Fondazione Cassa di Risparmio in Bologna, Fondazione Guglielmo Marconi, Granarolo, IMA, Marchesini Group e Unicredit. </w:t>
      </w:r>
    </w:p>
    <w:p w14:paraId="34415FCD" w14:textId="77777777" w:rsidR="008377EF" w:rsidRDefault="00000000">
      <w:pPr>
        <w:spacing w:after="120" w:line="240" w:lineRule="auto"/>
        <w:jc w:val="both"/>
        <w:rPr>
          <w:rFonts w:ascii="Source Sans Pro" w:eastAsia="Source Sans Pro" w:hAnsi="Source Sans Pro" w:cs="Source Sans Pro"/>
        </w:rPr>
      </w:pPr>
      <w:r>
        <w:rPr>
          <w:rFonts w:ascii="Source Sans Pro" w:eastAsia="Source Sans Pro" w:hAnsi="Source Sans Pro" w:cs="Source Sans Pro"/>
          <w:highlight w:val="white"/>
        </w:rPr>
        <w:t>La Scuola si differenzia per un approccio interdisciplinare, per l’integrazione con il contesto produttivo dell’Emilia-Romagna e per la focalizzazione sugli “industry champions” (organizzazioni leader nei propri settori o nelle proprie nicchie, indipendentemente dalla dimensione).</w:t>
      </w:r>
    </w:p>
    <w:p w14:paraId="4B051456" w14:textId="77777777" w:rsidR="008377EF" w:rsidRDefault="008377EF">
      <w:pPr>
        <w:spacing w:line="240" w:lineRule="auto"/>
        <w:ind w:right="-7"/>
        <w:jc w:val="both"/>
        <w:rPr>
          <w:rFonts w:ascii="Source Sans Pro" w:eastAsia="Source Sans Pro" w:hAnsi="Source Sans Pro" w:cs="Source Sans Pro"/>
          <w:b/>
        </w:rPr>
      </w:pPr>
    </w:p>
    <w:p w14:paraId="1CEA116B" w14:textId="77777777" w:rsidR="008377EF" w:rsidRDefault="00000000">
      <w:pPr>
        <w:spacing w:line="240" w:lineRule="auto"/>
        <w:ind w:right="-7"/>
        <w:jc w:val="both"/>
        <w:rPr>
          <w:rFonts w:ascii="Source Sans Pro" w:eastAsia="Source Sans Pro" w:hAnsi="Source Sans Pro" w:cs="Source Sans Pro"/>
          <w:b/>
        </w:rPr>
      </w:pPr>
      <w:r>
        <w:rPr>
          <w:rFonts w:ascii="Source Sans Pro" w:eastAsia="Source Sans Pro" w:hAnsi="Source Sans Pro" w:cs="Source Sans Pro"/>
          <w:b/>
        </w:rPr>
        <w:t>INTESA SANPAOLO</w:t>
      </w:r>
      <w:r>
        <w:rPr>
          <w:rFonts w:ascii="Source Sans Pro" w:eastAsia="Source Sans Pro" w:hAnsi="Source Sans Pro" w:cs="Source Sans Pro"/>
        </w:rPr>
        <w:t xml:space="preserve"> - Intesa Sanpaolo, con 419 miliardi di euro di impieghi e 1.400 miliardi di euro di attività finanziaria della clientela a fine giugno 2025, è il maggior gruppo bancario in Italia con una significativa presenza internazionale. È leader a livello europeo nel wealth management, con un forte orientamento al digitale e al fintech. In ambito ESG, entro il 2025, sono previsti 115 miliardi di euro di erogazioni Impact per la comunità e la transizione verde. Il programma a favore e a supporto delle persone in difficoltà è di 1,5 miliardi di euro (2023-2027). La rete museale della Banca, le Gallerie d’Italia, è sede espositiva del patrimonio artistico di proprietà e di progetti culturali di riconosciuto valore.</w:t>
      </w:r>
    </w:p>
    <w:p w14:paraId="5AAAF81B" w14:textId="77777777" w:rsidR="008377EF" w:rsidRDefault="008377EF">
      <w:pPr>
        <w:spacing w:after="120" w:line="240" w:lineRule="auto"/>
        <w:jc w:val="both"/>
        <w:rPr>
          <w:rFonts w:ascii="Source Sans Pro" w:eastAsia="Source Sans Pro" w:hAnsi="Source Sans Pro" w:cs="Source Sans Pro"/>
          <w:b/>
        </w:rPr>
      </w:pPr>
    </w:p>
    <w:p w14:paraId="6BFD1386" w14:textId="77777777" w:rsidR="008377EF" w:rsidRDefault="00000000">
      <w:pPr>
        <w:spacing w:after="120" w:line="240" w:lineRule="auto"/>
        <w:jc w:val="both"/>
        <w:rPr>
          <w:rFonts w:ascii="Source Sans Pro" w:eastAsia="Source Sans Pro" w:hAnsi="Source Sans Pro" w:cs="Source Sans Pro"/>
        </w:rPr>
      </w:pPr>
      <w:r>
        <w:rPr>
          <w:rFonts w:ascii="Source Sans Pro" w:eastAsia="Source Sans Pro" w:hAnsi="Source Sans Pro" w:cs="Source Sans Pro"/>
          <w:b/>
        </w:rPr>
        <w:t>MUG – Magazzini Generativi</w:t>
      </w:r>
      <w:r>
        <w:rPr>
          <w:rFonts w:ascii="Source Sans Pro" w:eastAsia="Source Sans Pro" w:hAnsi="Source Sans Pro" w:cs="Source Sans Pro"/>
        </w:rPr>
        <w:t xml:space="preserve"> è l’hub dell’innovazione ideato da Emil Banca, situato a Bologna in via Emilia Levante 9, e sviluppato tramite la rigenerazione di un ex magazzino di oltre 1700 mq. È uno spazio collaborativo avanzato dal punto di vista tecnologico che ospita uffici, coworking, sale meeting, sale workshop di varie dimensioni, una nursery e un auditorium da 99 posti. MUG si propone come casa per startup, organizzazioni del terzo settore, talenti, imprese e portatori di interesse, offrendo un habitat </w:t>
      </w:r>
      <w:r>
        <w:rPr>
          <w:rFonts w:ascii="Source Sans Pro" w:eastAsia="Source Sans Pro" w:hAnsi="Source Sans Pro" w:cs="Source Sans Pro"/>
        </w:rPr>
        <w:lastRenderedPageBreak/>
        <w:t>ideale per lo sviluppo di idee e progetti ad alto impatto economico e sociale, con particolare attenzione a sostenibilità e welfare. Il progetto promuove la contaminazione tra innovazione, impresa e cultura mediante iniziative di open innovation che coinvolgono attivamente la comunità locale e una rete di partner e stakeholder istituzionali e privati.</w:t>
      </w:r>
    </w:p>
    <w:p w14:paraId="66E2F536" w14:textId="77777777" w:rsidR="008377EF" w:rsidRDefault="008377EF">
      <w:pPr>
        <w:spacing w:after="120" w:line="240" w:lineRule="auto"/>
        <w:jc w:val="both"/>
        <w:rPr>
          <w:rFonts w:ascii="Source Sans Pro" w:eastAsia="Source Sans Pro" w:hAnsi="Source Sans Pro" w:cs="Source Sans Pro"/>
        </w:rPr>
      </w:pPr>
    </w:p>
    <w:p w14:paraId="2BE60A6F" w14:textId="77777777" w:rsidR="008377EF" w:rsidRDefault="00000000">
      <w:pPr>
        <w:spacing w:after="120" w:line="240" w:lineRule="auto"/>
        <w:jc w:val="both"/>
        <w:rPr>
          <w:rFonts w:ascii="Arial" w:eastAsia="Arial" w:hAnsi="Arial" w:cs="Arial"/>
          <w:b/>
        </w:rPr>
      </w:pPr>
      <w:r>
        <w:rPr>
          <w:rFonts w:ascii="Source Sans Pro" w:eastAsia="Source Sans Pro" w:hAnsi="Source Sans Pro" w:cs="Source Sans Pro"/>
          <w:b/>
        </w:rPr>
        <w:t xml:space="preserve">IT4LIA - </w:t>
      </w:r>
      <w:r>
        <w:rPr>
          <w:rFonts w:ascii="Source Sans Pro" w:eastAsia="Source Sans Pro" w:hAnsi="Source Sans Pro" w:cs="Source Sans Pro"/>
        </w:rPr>
        <w:t>IT4LIA AI Factory è una delle prime piattaforme europee specializzate nell’accelerare lo sviluppo e l’adozione dell’intelligenza artificiale nell’industria e nella società. Ospitata presso il Tecnopolo di Bologna, eccellenza internazionale per supercalcolo e data science, la Factory mette a disposizione un supercomputer avanzato ottimizzato per applicazioni AI, con capacità di calcolo leader in Europa. IT4LIA nasce come piattaforma collaborativa tra ricerca e industria, favorendo il trasferimento tecnologico grazie a servizi specialistici, formazione e rete di partner pubblici e privati – con il sostegno della Commissione Europea, del Ministero dell’Università e della Ricerca, dell’Agenzia per la Cybersicurezza Nazionale e di vari attori regionali. L’obiettivo è costruire un ecosistema nazionale e internazionale che abiliti startup, PMI, grandi aziende e pubblica amministrazione ad accedere e valorizzare l’intelligenza artificiale, rendendo l’Italia protagonista nello scenario globale.</w:t>
      </w:r>
    </w:p>
    <w:p w14:paraId="332B1ACB" w14:textId="77777777" w:rsidR="008377EF" w:rsidRDefault="00000000">
      <w:pPr>
        <w:spacing w:after="120" w:line="240" w:lineRule="auto"/>
        <w:jc w:val="both"/>
        <w:rPr>
          <w:rFonts w:ascii="Arial" w:eastAsia="Arial" w:hAnsi="Arial" w:cs="Arial"/>
          <w:highlight w:val="yellow"/>
        </w:rPr>
      </w:pPr>
      <w:r>
        <w:rPr>
          <w:rFonts w:ascii="Source Sans Pro" w:eastAsia="Source Sans Pro" w:hAnsi="Source Sans Pro" w:cs="Source Sans Pro"/>
          <w:b/>
        </w:rPr>
        <w:br/>
        <w:t>CUBBIT -</w:t>
      </w:r>
      <w:r>
        <w:rPr>
          <w:rFonts w:ascii="Source Sans Pro" w:eastAsia="Source Sans Pro" w:hAnsi="Source Sans Pro" w:cs="Source Sans Pro"/>
        </w:rPr>
        <w:t xml:space="preserve"> Cubbit è il primo enabler di cloud storage geo-distribuito e sviluppa soluzioni sovrane per la protezione dei dati di aziende e istituzioni in Europa e nel mondo. Il suo software innovativo consente a service provider, imprese ed enti pubblici di creare in pochi minuti il proprio sistema di cloud storage geo-distribuito, adattabile alle strategie infrastrutturali di ogni organizzazione, garantendo pieno controllo e sovranità sui dati, semplificazione dei flussi di gestione e ottimizzazione dei costi. Oggi, la tecnologia iper-resiliente e cybersicura di Cubbit è adottata da oltre 400 aziende e partner, tra cui Leonardo (leader mondiale nel settore della difesa e della cybersicurezza) e Rai Way (società del gruppo RAI attiva nel settore media e datacenter), e utilizzata da Exclusive Networks (distributore globale, quotato alla Borsa di Parigi). Cubbit è inoltre supportato da partner tecnologici internazionali come HPE (Hewlett Packard Enterprise), Accenture, ed Equinix. Per ulteriori informazioni, visitare: https://www.cubbit.io/it/ </w:t>
      </w:r>
      <w:r>
        <w:rPr>
          <w:rFonts w:ascii="Source Sans Pro" w:eastAsia="Source Sans Pro" w:hAnsi="Source Sans Pro" w:cs="Source Sans Pro"/>
        </w:rPr>
        <w:br/>
      </w:r>
    </w:p>
    <w:sectPr w:rsidR="008377EF">
      <w:headerReference w:type="default" r:id="rId16"/>
      <w:pgSz w:w="11900" w:h="16840"/>
      <w:pgMar w:top="2106" w:right="1134" w:bottom="1134" w:left="1134"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756A38" w14:textId="77777777" w:rsidR="007B6734" w:rsidRDefault="007B6734">
      <w:pPr>
        <w:spacing w:after="0" w:line="240" w:lineRule="auto"/>
      </w:pPr>
      <w:r>
        <w:separator/>
      </w:r>
    </w:p>
  </w:endnote>
  <w:endnote w:type="continuationSeparator" w:id="0">
    <w:p w14:paraId="2ECA3635" w14:textId="77777777" w:rsidR="007B6734" w:rsidRDefault="007B67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C073464D-AF2A-48A3-ADE8-69C6ABA9ED55}"/>
    <w:embedBold r:id="rId2" w:fontKey="{EBDEC4B7-1E56-42BD-A49E-7FE987EFBF3B}"/>
  </w:font>
  <w:font w:name="Georgia">
    <w:panose1 w:val="02040502050405020303"/>
    <w:charset w:val="00"/>
    <w:family w:val="auto"/>
    <w:pitch w:val="default"/>
    <w:embedRegular r:id="rId3" w:fontKey="{FB12B007-80B0-45C7-B13A-110202286C75}"/>
    <w:embedItalic r:id="rId4" w:fontKey="{49B16490-FD42-4CC6-8F28-EE2BAE2CA644}"/>
  </w:font>
  <w:font w:name="Titillium Web">
    <w:charset w:val="00"/>
    <w:family w:val="auto"/>
    <w:pitch w:val="variable"/>
    <w:sig w:usb0="00000007" w:usb1="00000001" w:usb2="00000000" w:usb3="00000000" w:csb0="00000093" w:csb1="00000000"/>
    <w:embedRegular r:id="rId5" w:fontKey="{E7C177B8-50A1-418D-8BEE-03FF79A1E90E}"/>
    <w:embedBold r:id="rId6" w:fontKey="{1ED279C4-84F8-4AEE-BDF1-F9504ADDD945}"/>
  </w:font>
  <w:font w:name="Source Sans Pro">
    <w:charset w:val="00"/>
    <w:family w:val="swiss"/>
    <w:pitch w:val="variable"/>
    <w:sig w:usb0="600002F7" w:usb1="02000001" w:usb2="00000000" w:usb3="00000000" w:csb0="0000019F" w:csb1="00000000"/>
    <w:embedRegular r:id="rId7" w:fontKey="{BF8D541A-79A8-4401-BAEA-6D03CB6C2F0C}"/>
    <w:embedBold r:id="rId8" w:fontKey="{4F15C3A3-286A-45E7-9FBE-643A4B7FD661}"/>
    <w:embedItalic r:id="rId9" w:fontKey="{625B2C26-C7E4-4E85-8E27-DD2D82192BC4}"/>
    <w:embedBoldItalic r:id="rId10" w:fontKey="{A255DFA5-01C8-4A9C-B709-AF95017CF02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1" w:fontKey="{9C9A21BD-E16E-4F5A-8085-4C301EEECA2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6487F4" w14:textId="77777777" w:rsidR="007B6734" w:rsidRDefault="007B6734">
      <w:pPr>
        <w:spacing w:after="0" w:line="240" w:lineRule="auto"/>
      </w:pPr>
      <w:r>
        <w:separator/>
      </w:r>
    </w:p>
  </w:footnote>
  <w:footnote w:type="continuationSeparator" w:id="0">
    <w:p w14:paraId="05CB835C" w14:textId="77777777" w:rsidR="007B6734" w:rsidRDefault="007B6734">
      <w:pPr>
        <w:spacing w:after="0" w:line="240" w:lineRule="auto"/>
      </w:pPr>
      <w:r>
        <w:continuationSeparator/>
      </w:r>
    </w:p>
  </w:footnote>
  <w:footnote w:id="1">
    <w:p w14:paraId="31682956" w14:textId="77777777" w:rsidR="008377EF" w:rsidRDefault="00000000">
      <w:pPr>
        <w:spacing w:after="0" w:line="240" w:lineRule="auto"/>
        <w:rPr>
          <w:rFonts w:ascii="Source Sans Pro" w:eastAsia="Source Sans Pro" w:hAnsi="Source Sans Pro" w:cs="Source Sans Pro"/>
          <w:sz w:val="20"/>
          <w:szCs w:val="20"/>
        </w:rPr>
      </w:pPr>
      <w:r>
        <w:rPr>
          <w:vertAlign w:val="superscript"/>
        </w:rPr>
        <w:footnoteRef/>
      </w:r>
      <w:r>
        <w:rPr>
          <w:rFonts w:ascii="Source Sans Pro" w:eastAsia="Source Sans Pro" w:hAnsi="Source Sans Pro" w:cs="Source Sans Pro"/>
          <w:sz w:val="20"/>
          <w:szCs w:val="20"/>
        </w:rPr>
        <w:t xml:space="preserve"> https://dealroom.net/blog/biggest-private-equity-firms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E3A287" w14:textId="77777777" w:rsidR="008377EF" w:rsidRDefault="00000000">
    <w:pPr>
      <w:pBdr>
        <w:top w:val="nil"/>
        <w:left w:val="nil"/>
        <w:bottom w:val="nil"/>
        <w:right w:val="nil"/>
        <w:between w:val="nil"/>
      </w:pBdr>
      <w:tabs>
        <w:tab w:val="center" w:pos="4819"/>
        <w:tab w:val="right" w:pos="9638"/>
      </w:tabs>
      <w:spacing w:after="0" w:line="240" w:lineRule="auto"/>
      <w:jc w:val="center"/>
      <w:rPr>
        <w:sz w:val="24"/>
        <w:szCs w:val="24"/>
      </w:rPr>
    </w:pPr>
    <w:r>
      <w:rPr>
        <w:sz w:val="24"/>
        <w:szCs w:val="24"/>
      </w:rPr>
      <w:t xml:space="preserve">  .</w:t>
    </w:r>
    <w:r>
      <w:rPr>
        <w:noProof/>
        <w:sz w:val="24"/>
        <w:szCs w:val="24"/>
      </w:rPr>
      <w:drawing>
        <wp:inline distT="114300" distB="114300" distL="114300" distR="114300" wp14:anchorId="09003FCE" wp14:editId="699C83FF">
          <wp:extent cx="2506296" cy="698183"/>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506296" cy="698183"/>
                  </a:xfrm>
                  <a:prstGeom prst="rect">
                    <a:avLst/>
                  </a:prstGeom>
                  <a:ln/>
                </pic:spPr>
              </pic:pic>
            </a:graphicData>
          </a:graphic>
        </wp:inline>
      </w:drawing>
    </w:r>
  </w:p>
  <w:p w14:paraId="24DEF5ED" w14:textId="77777777" w:rsidR="008377EF" w:rsidRDefault="008377EF">
    <w:pPr>
      <w:pBdr>
        <w:top w:val="nil"/>
        <w:left w:val="nil"/>
        <w:bottom w:val="nil"/>
        <w:right w:val="nil"/>
        <w:between w:val="nil"/>
      </w:pBdr>
      <w:tabs>
        <w:tab w:val="center" w:pos="4819"/>
        <w:tab w:val="right" w:pos="9638"/>
      </w:tabs>
      <w:spacing w:after="0" w:line="240" w:lineRule="auto"/>
      <w:rPr>
        <w:sz w:val="24"/>
        <w:szCs w:val="24"/>
      </w:rPr>
    </w:pPr>
  </w:p>
  <w:p w14:paraId="188D599F" w14:textId="77777777" w:rsidR="008377EF" w:rsidRDefault="00000000">
    <w:pPr>
      <w:tabs>
        <w:tab w:val="center" w:pos="4819"/>
        <w:tab w:val="right" w:pos="9638"/>
      </w:tabs>
      <w:spacing w:after="0" w:line="240" w:lineRule="auto"/>
      <w:jc w:val="center"/>
      <w:rPr>
        <w:b/>
        <w:sz w:val="24"/>
        <w:szCs w:val="24"/>
      </w:rPr>
    </w:pPr>
    <w:r>
      <w:rPr>
        <w:b/>
        <w:noProof/>
        <w:sz w:val="24"/>
        <w:szCs w:val="24"/>
      </w:rPr>
      <w:drawing>
        <wp:inline distT="114300" distB="114300" distL="114300" distR="114300" wp14:anchorId="3480B663" wp14:editId="48E1CB42">
          <wp:extent cx="6000564" cy="1240453"/>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t="295" b="295"/>
                  <a:stretch>
                    <a:fillRect/>
                  </a:stretch>
                </pic:blipFill>
                <pic:spPr>
                  <a:xfrm>
                    <a:off x="0" y="0"/>
                    <a:ext cx="6000564" cy="1240453"/>
                  </a:xfrm>
                  <a:prstGeom prst="rect">
                    <a:avLst/>
                  </a:prstGeom>
                  <a:ln/>
                </pic:spPr>
              </pic:pic>
            </a:graphicData>
          </a:graphic>
        </wp:inline>
      </w:drawing>
    </w:r>
  </w:p>
  <w:p w14:paraId="01B3D80C" w14:textId="77777777" w:rsidR="008377EF" w:rsidRDefault="008377EF">
    <w:pPr>
      <w:tabs>
        <w:tab w:val="center" w:pos="4819"/>
        <w:tab w:val="right" w:pos="9638"/>
      </w:tabs>
      <w:spacing w:after="0" w:line="240" w:lineRule="auto"/>
      <w:jc w:val="center"/>
      <w:rPr>
        <w:b/>
        <w:sz w:val="24"/>
        <w:szCs w:val="24"/>
      </w:rPr>
    </w:pPr>
  </w:p>
  <w:p w14:paraId="6B73E912" w14:textId="77777777" w:rsidR="008377EF" w:rsidRDefault="00000000">
    <w:pPr>
      <w:tabs>
        <w:tab w:val="center" w:pos="4819"/>
        <w:tab w:val="right" w:pos="9638"/>
      </w:tabs>
      <w:spacing w:after="0" w:line="240" w:lineRule="auto"/>
      <w:jc w:val="center"/>
      <w:rPr>
        <w:b/>
        <w:color w:val="666666"/>
        <w:sz w:val="24"/>
        <w:szCs w:val="24"/>
      </w:rPr>
    </w:pPr>
    <w:r>
      <w:pict w14:anchorId="193F6DE8">
        <v:rect id="_x0000_i1025" style="width:0;height:1.5pt" o:hralign="center" o:hrstd="t" o:hr="t" fillcolor="#a0a0a0" stroked="f"/>
      </w:pict>
    </w:r>
  </w:p>
  <w:p w14:paraId="58C157E4" w14:textId="77777777" w:rsidR="008377EF" w:rsidRDefault="008377EF">
    <w:pPr>
      <w:tabs>
        <w:tab w:val="center" w:pos="4819"/>
        <w:tab w:val="right" w:pos="9638"/>
      </w:tabs>
      <w:spacing w:after="0" w:line="240" w:lineRule="auto"/>
      <w:jc w:val="center"/>
      <w:rPr>
        <w:b/>
        <w:sz w:val="24"/>
        <w:szCs w:val="24"/>
      </w:rPr>
    </w:pPr>
  </w:p>
  <w:p w14:paraId="0C55BC71" w14:textId="77777777" w:rsidR="008377EF" w:rsidRDefault="008377EF">
    <w:pPr>
      <w:tabs>
        <w:tab w:val="center" w:pos="4819"/>
        <w:tab w:val="right" w:pos="9638"/>
      </w:tabs>
      <w:spacing w:after="0" w:line="240" w:lineRule="auto"/>
      <w:rPr>
        <w:b/>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87B0061"/>
    <w:multiLevelType w:val="multilevel"/>
    <w:tmpl w:val="B7B899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6924926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77EF"/>
    <w:rsid w:val="006A3B85"/>
    <w:rsid w:val="007B6734"/>
    <w:rsid w:val="008377EF"/>
    <w:rsid w:val="008444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BF9E1E6"/>
  <w15:docId w15:val="{B3E455CE-5069-42FD-8BC7-51CB6C38F6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it-IT"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bolognainnovationsquare.it/" TargetMode="External"/><Relationship Id="rId13" Type="http://schemas.openxmlformats.org/officeDocument/2006/relationships/hyperlink" Target="https://www.bolognainnovationsquare.it/"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bolognagathering.com" TargetMode="External"/><Relationship Id="rId12" Type="http://schemas.openxmlformats.org/officeDocument/2006/relationships/hyperlink" Target="https://www.bolognainnovationsquare.it/"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cittametropolitana.bo.it/cittaconoscenza/" TargetMode="External"/><Relationship Id="rId5" Type="http://schemas.openxmlformats.org/officeDocument/2006/relationships/footnotes" Target="footnotes.xml"/><Relationship Id="rId15" Type="http://schemas.openxmlformats.org/officeDocument/2006/relationships/hyperlink" Target="https://www.investinbologna.it/" TargetMode="External"/><Relationship Id="rId10" Type="http://schemas.openxmlformats.org/officeDocument/2006/relationships/hyperlink" Target="https://www.cittametropolitana.bo.it/cittaconoscenza/" TargetMode="External"/><Relationship Id="rId4" Type="http://schemas.openxmlformats.org/officeDocument/2006/relationships/webSettings" Target="webSettings.xml"/><Relationship Id="rId9" Type="http://schemas.openxmlformats.org/officeDocument/2006/relationships/hyperlink" Target="https://www.bolognainnovationsquare.it/" TargetMode="External"/><Relationship Id="rId14" Type="http://schemas.openxmlformats.org/officeDocument/2006/relationships/hyperlink" Target="https://www.ctecobo.it/"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3729</Words>
  <Characters>22712</Characters>
  <Application>Microsoft Office Word</Application>
  <DocSecurity>0</DocSecurity>
  <Lines>338</Lines>
  <Paragraphs>59</Paragraphs>
  <ScaleCrop>false</ScaleCrop>
  <Company/>
  <LinksUpToDate>false</LinksUpToDate>
  <CharactersWithSpaces>26382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Francesco Pazzaglia</cp:lastModifiedBy>
  <cp:revision>2</cp:revision>
  <dcterms:created xsi:type="dcterms:W3CDTF">2025-09-16T08:34:00Z</dcterms:created>
  <dcterms:modified xsi:type="dcterms:W3CDTF">2025-09-16T08:34:00Z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f933e8f4-c49f-4a95-8e4d-f97668a0ab94</vt:lpwstr>
  </property>
</Properties>
</file>